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C435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52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55A8145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6914"/>
      <w:r>
        <w:rPr>
          <w:rFonts w:hint="eastAsia"/>
          <w:lang w:val="en-US" w:eastAsia="zh-CN"/>
        </w:rPr>
        <w:t>中国广电重庆BOSS系统存储维保项目-服务可用性和连续性管理计划</w:t>
      </w:r>
      <w:bookmarkEnd w:id="1"/>
    </w:p>
    <w:p w14:paraId="2ECD420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文件编号：ZGS-06-16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86F4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0B267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 w14:paraId="73C45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4BE0A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572C6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D5EED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68EAA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FA1A0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15EB93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181A2F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7195C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79718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DF82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DCEF7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34C4E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0B99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A1D3B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661DC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4F2E0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0DCC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A2977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33EAFE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854B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4B6FA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EFEB3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1DFD9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CB924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E69C1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32D34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9745C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56887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00433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1164E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0A59A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EF34A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5E986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E6AA0B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8137F6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48D63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_Toc32529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9F22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中国广电重庆BOSS系统存储维保项目-服务可用性和连续性管理计划</w:t>
          </w:r>
          <w:r>
            <w:tab/>
          </w:r>
          <w:r>
            <w:fldChar w:fldCharType="begin"/>
          </w:r>
          <w:r>
            <w:instrText xml:space="preserve"> PAGEREF _Toc6914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A2F2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_Toc18423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96B5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94FC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_Toc8674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E221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依据</w:t>
          </w:r>
          <w:r>
            <w:tab/>
          </w:r>
          <w:r>
            <w:fldChar w:fldCharType="begin"/>
          </w:r>
          <w:r>
            <w:instrText xml:space="preserve"> PAGEREF _Toc24989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0E69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管理目标</w:t>
          </w:r>
          <w:r>
            <w:tab/>
          </w:r>
          <w:r>
            <w:fldChar w:fldCharType="begin"/>
          </w:r>
          <w:r>
            <w:instrText xml:space="preserve"> PAGEREF _Toc26679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41CD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可用性管理</w:t>
          </w:r>
          <w:r>
            <w:tab/>
          </w:r>
          <w:r>
            <w:fldChar w:fldCharType="begin"/>
          </w:r>
          <w:r>
            <w:instrText xml:space="preserve"> PAGEREF _Toc7674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AE44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2.1.1. 可用性目标</w:t>
          </w:r>
          <w:r>
            <w:tab/>
          </w:r>
          <w:r>
            <w:fldChar w:fldCharType="begin"/>
          </w:r>
          <w:r>
            <w:instrText xml:space="preserve"> PAGEREF _Toc3882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0DE3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2.1.2. 恢复目标</w:t>
          </w:r>
          <w:r>
            <w:tab/>
          </w:r>
          <w:r>
            <w:fldChar w:fldCharType="begin"/>
          </w:r>
          <w:r>
            <w:instrText xml:space="preserve"> PAGEREF _Toc30364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8404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连续性管理</w:t>
          </w:r>
          <w:r>
            <w:tab/>
          </w:r>
          <w:r>
            <w:fldChar w:fldCharType="begin"/>
          </w:r>
          <w:r>
            <w:instrText xml:space="preserve"> PAGEREF _Toc30703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36B1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连续性目标</w:t>
          </w:r>
          <w:r>
            <w:tab/>
          </w:r>
          <w:r>
            <w:fldChar w:fldCharType="begin"/>
          </w:r>
          <w:r>
            <w:instrText xml:space="preserve"> PAGEREF _Toc21229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A6578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恢复目标</w:t>
          </w:r>
          <w:r>
            <w:tab/>
          </w:r>
          <w:r>
            <w:fldChar w:fldCharType="begin"/>
          </w:r>
          <w:r>
            <w:instrText xml:space="preserve"> PAGEREF _Toc21315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0A7D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_Toc21444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B6D6D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可用性与连续性管理小组</w:t>
          </w:r>
          <w:r>
            <w:tab/>
          </w:r>
          <w:r>
            <w:fldChar w:fldCharType="begin"/>
          </w:r>
          <w:r>
            <w:instrText xml:space="preserve"> PAGEREF _Toc28004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E5E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各角色职责</w:t>
          </w:r>
          <w:r>
            <w:tab/>
          </w:r>
          <w:r>
            <w:fldChar w:fldCharType="begin"/>
          </w:r>
          <w:r>
            <w:instrText xml:space="preserve"> PAGEREF _Toc12297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845F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服务可用性管理</w:t>
          </w:r>
          <w:r>
            <w:tab/>
          </w:r>
          <w:r>
            <w:fldChar w:fldCharType="begin"/>
          </w:r>
          <w:r>
            <w:instrText xml:space="preserve"> PAGEREF _Toc22202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0D6A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可用性设计</w:t>
          </w:r>
          <w:r>
            <w:tab/>
          </w:r>
          <w:r>
            <w:fldChar w:fldCharType="begin"/>
          </w:r>
          <w:r>
            <w:instrText xml:space="preserve"> PAGEREF _Toc32571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34A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监控与度量</w:t>
          </w:r>
          <w:r>
            <w:tab/>
          </w:r>
          <w:r>
            <w:fldChar w:fldCharType="begin"/>
          </w:r>
          <w:r>
            <w:instrText xml:space="preserve"> PAGEREF _Toc14002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2F0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预防性维护</w:t>
          </w:r>
          <w:r>
            <w:tab/>
          </w:r>
          <w:r>
            <w:fldChar w:fldCharType="begin"/>
          </w:r>
          <w:r>
            <w:instrText xml:space="preserve"> PAGEREF _Toc10574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3286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服务连续性管理（业务连续性计划，BCP）</w:t>
          </w:r>
          <w:r>
            <w:tab/>
          </w:r>
          <w:r>
            <w:fldChar w:fldCharType="begin"/>
          </w:r>
          <w:r>
            <w:instrText xml:space="preserve"> PAGEREF _Toc17060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07F8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业务影响分析 (BIA)</w:t>
          </w:r>
          <w:r>
            <w:tab/>
          </w:r>
          <w:r>
            <w:fldChar w:fldCharType="begin"/>
          </w:r>
          <w:r>
            <w:instrText xml:space="preserve"> PAGEREF _Toc11918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3DF0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恢复策略</w:t>
          </w:r>
          <w:r>
            <w:tab/>
          </w:r>
          <w:r>
            <w:fldChar w:fldCharType="begin"/>
          </w:r>
          <w:r>
            <w:instrText xml:space="preserve"> PAGEREF _Toc24765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A43C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应急预案</w:t>
          </w:r>
          <w:r>
            <w:tab/>
          </w:r>
          <w:r>
            <w:fldChar w:fldCharType="begin"/>
          </w:r>
          <w:r>
            <w:instrText xml:space="preserve"> PAGEREF _Toc20315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AC57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演练、测试与评审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783A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演练计划</w:t>
          </w:r>
          <w:r>
            <w:tab/>
          </w:r>
          <w:r>
            <w:fldChar w:fldCharType="begin"/>
          </w:r>
          <w:r>
            <w:instrText xml:space="preserve"> PAGEREF _Toc6904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95C2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计划评审与更新</w:t>
          </w:r>
          <w:r>
            <w:tab/>
          </w:r>
          <w:r>
            <w:fldChar w:fldCharType="begin"/>
          </w:r>
          <w:r>
            <w:instrText xml:space="preserve"> PAGEREF _Toc10857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F31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沟通与报告</w:t>
          </w:r>
          <w:r>
            <w:tab/>
          </w:r>
          <w:r>
            <w:fldChar w:fldCharType="begin"/>
          </w:r>
          <w:r>
            <w:instrText xml:space="preserve"> PAGEREF _Toc26068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930DA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E7EA04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8423"/>
      <w:r>
        <w:rPr>
          <w:rFonts w:hint="default"/>
          <w:lang w:val="en-US" w:eastAsia="zh-CN"/>
        </w:rPr>
        <w:t>总则</w:t>
      </w:r>
      <w:bookmarkEnd w:id="2"/>
    </w:p>
    <w:p w14:paraId="65E12E7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4241"/>
      <w:r>
        <w:rPr>
          <w:rFonts w:hint="default"/>
          <w:lang w:val="en-US" w:eastAsia="zh-CN"/>
        </w:rPr>
        <w:t>目的</w:t>
      </w:r>
      <w:bookmarkEnd w:id="3"/>
    </w:p>
    <w:p w14:paraId="24D83A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“中国广电重庆BOSS系统存储维保项目”（下称“本服务”）能够持续、稳定地满足合同约定的服务级别，并能在发生重大中断事件时，有计划、有组织地恢复服务至可接受水平，最大程度降低对甲方业务运营的影响，特制定本服务可用性与连续性管理计划。</w:t>
      </w:r>
    </w:p>
    <w:p w14:paraId="7116C2B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8674"/>
      <w:r>
        <w:rPr>
          <w:rFonts w:hint="default"/>
          <w:lang w:val="en-US" w:eastAsia="zh-CN"/>
        </w:rPr>
        <w:t>范围</w:t>
      </w:r>
      <w:bookmarkEnd w:id="4"/>
    </w:p>
    <w:p w14:paraId="5993BC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本计划涵盖支持本服务运行的所有关键性技术组件（应用、数据库、中间件、服务器、网络、存储）及必要的运维支持活动。管理范围贯穿服务的日常运营与灾难恢复场景。</w:t>
      </w:r>
    </w:p>
    <w:p w14:paraId="7A5ACBF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4989"/>
      <w:r>
        <w:rPr>
          <w:rFonts w:hint="default"/>
          <w:lang w:val="en-US" w:eastAsia="zh-CN"/>
        </w:rPr>
        <w:t>依据</w:t>
      </w:r>
      <w:bookmarkEnd w:id="5"/>
    </w:p>
    <w:p w14:paraId="06299E5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</w:t>
      </w:r>
    </w:p>
    <w:p w14:paraId="77FE35C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国家标准GB/T 28827.3 《信息技术服务 运行维护 第3部分：应急响应规范》</w:t>
      </w:r>
    </w:p>
    <w:p w14:paraId="03EEB8C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公司内部《服务可用性与连续性管理程序》</w:t>
      </w:r>
    </w:p>
    <w:p w14:paraId="7347E93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6679"/>
      <w:r>
        <w:rPr>
          <w:rFonts w:hint="default"/>
          <w:lang w:val="en-US" w:eastAsia="zh-CN"/>
        </w:rPr>
        <w:t>管理目标</w:t>
      </w:r>
      <w:bookmarkEnd w:id="6"/>
    </w:p>
    <w:p w14:paraId="7AECCE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674"/>
      <w:r>
        <w:rPr>
          <w:rFonts w:hint="eastAsia"/>
          <w:lang w:val="en-US" w:eastAsia="zh-CN"/>
        </w:rPr>
        <w:t>可用性管理</w:t>
      </w:r>
      <w:bookmarkEnd w:id="7"/>
    </w:p>
    <w:p w14:paraId="5D4592C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882"/>
      <w:r>
        <w:rPr>
          <w:rFonts w:hint="default"/>
          <w:lang w:val="en-US" w:eastAsia="zh-CN"/>
        </w:rPr>
        <w:t>可用性目标</w:t>
      </w:r>
      <w:bookmarkEnd w:id="8"/>
    </w:p>
    <w:p w14:paraId="36B209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</w:t>
      </w:r>
      <w:r>
        <w:rPr>
          <w:rFonts w:hint="eastAsia"/>
          <w:lang w:val="en-US" w:eastAsia="zh-CN"/>
        </w:rPr>
        <w:t>核心系统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月度关键服务</w:t>
      </w:r>
      <w:r>
        <w:rPr>
          <w:rFonts w:hint="default"/>
          <w:lang w:val="en-US" w:eastAsia="zh-CN"/>
        </w:rPr>
        <w:t>可用</w:t>
      </w:r>
      <w:r>
        <w:rPr>
          <w:rFonts w:hint="eastAsia"/>
          <w:lang w:val="en-US" w:eastAsia="zh-CN"/>
        </w:rPr>
        <w:t>率</w:t>
      </w:r>
      <w:r>
        <w:rPr>
          <w:rFonts w:hint="default"/>
          <w:lang w:val="en-US" w:eastAsia="zh-CN"/>
        </w:rPr>
        <w:t>不低于99%。严格遵守合同承诺的7天×24小时服务可访问性。</w:t>
      </w:r>
    </w:p>
    <w:p w14:paraId="3EBA568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0364"/>
      <w:r>
        <w:rPr>
          <w:rFonts w:hint="default"/>
          <w:lang w:val="en-US" w:eastAsia="zh-CN"/>
        </w:rPr>
        <w:t>恢复目标</w:t>
      </w:r>
      <w:bookmarkEnd w:id="9"/>
    </w:p>
    <w:p w14:paraId="328938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服务恢复时间目标 (RTO)：对于重大服务中断，通过高可用架构或应急措施，确保核心业务在 4小时 内恢复基本功能。全力满足合同约定的 48小时 内排除故障的总体要求。</w:t>
      </w:r>
    </w:p>
    <w:p w14:paraId="32B6EA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数据恢复点目标 (RPO)：通过定期备份与数据复制技术，确保核心业务数据丢失不超过 1小时。</w:t>
      </w:r>
    </w:p>
    <w:p w14:paraId="6DC098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0703"/>
      <w:r>
        <w:rPr>
          <w:rFonts w:hint="eastAsia"/>
          <w:lang w:val="en-US" w:eastAsia="zh-CN"/>
        </w:rPr>
        <w:t>连续性管理</w:t>
      </w:r>
      <w:bookmarkEnd w:id="10"/>
    </w:p>
    <w:p w14:paraId="66C41C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1229"/>
      <w:r>
        <w:rPr>
          <w:rFonts w:hint="default"/>
          <w:lang w:val="en-US" w:eastAsia="zh-CN"/>
        </w:rPr>
        <w:t>连续性目标</w:t>
      </w:r>
      <w:bookmarkEnd w:id="11"/>
    </w:p>
    <w:p w14:paraId="561D2A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建立并维护有效的业务连续性预案，</w:t>
      </w:r>
      <w:r>
        <w:rPr>
          <w:rFonts w:hint="eastAsia"/>
          <w:lang w:val="en-US" w:eastAsia="zh-CN"/>
        </w:rPr>
        <w:t>保证月度服务中断次数不超过1次</w:t>
      </w:r>
      <w:r>
        <w:rPr>
          <w:rFonts w:hint="default"/>
          <w:lang w:val="en-US" w:eastAsia="zh-CN"/>
        </w:rPr>
        <w:t>。</w:t>
      </w:r>
    </w:p>
    <w:p w14:paraId="45EBE6C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1315"/>
      <w:r>
        <w:rPr>
          <w:rFonts w:hint="eastAsia"/>
          <w:lang w:val="en-US" w:eastAsia="zh-CN"/>
        </w:rPr>
        <w:t>恢复目标</w:t>
      </w:r>
      <w:bookmarkEnd w:id="12"/>
    </w:p>
    <w:p w14:paraId="2D635C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业务连续性恢复时间目标 (BCP RTO)：在发生需启用备用站点的灾难事件后，根据业务影响分析确定的优先级，在 24小时 内恢复所有关键业务功能的运营能力。</w:t>
      </w:r>
    </w:p>
    <w:p w14:paraId="7D9341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业务连续性数据恢复点目标 (BCP RPO)：通过异地数据备份与复制机制，确保在灾难发生时，核心业务数据损失不超过 24小时。</w:t>
      </w:r>
    </w:p>
    <w:p w14:paraId="2C090DB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1444"/>
      <w:r>
        <w:rPr>
          <w:rFonts w:hint="default"/>
          <w:lang w:val="en-US" w:eastAsia="zh-CN"/>
        </w:rPr>
        <w:t>组织与职责</w:t>
      </w:r>
      <w:bookmarkEnd w:id="13"/>
    </w:p>
    <w:p w14:paraId="1A3C09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8004"/>
      <w:r>
        <w:rPr>
          <w:rFonts w:hint="default"/>
          <w:lang w:val="en-US" w:eastAsia="zh-CN"/>
        </w:rPr>
        <w:t>可用性与连续性管理小组</w:t>
      </w:r>
      <w:bookmarkEnd w:id="14"/>
    </w:p>
    <w:p w14:paraId="15765F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成立可用性和连续性管理小组，由运维部部长担任组长，其他运维相关部门部长担任核心成员。</w:t>
      </w:r>
    </w:p>
    <w:p w14:paraId="1F9285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组长：运维部部长</w:t>
      </w:r>
    </w:p>
    <w:p w14:paraId="0BF708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核心成员：运维项目部长、研发部部长、采购部部长、质量部部长</w:t>
      </w:r>
    </w:p>
    <w:p w14:paraId="18BB3C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职责：审批本计划及后续变更；决策重大资源投入；宣布启动业务连续性预案；监督演练与复盘。</w:t>
      </w:r>
    </w:p>
    <w:p w14:paraId="40E6FA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2297"/>
      <w:r>
        <w:rPr>
          <w:rFonts w:hint="default"/>
          <w:lang w:val="en-US" w:eastAsia="zh-CN"/>
        </w:rPr>
        <w:t>各角色职责</w:t>
      </w:r>
      <w:bookmarkEnd w:id="15"/>
    </w:p>
    <w:p w14:paraId="708DA1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运维部部长：总体负责服务可用性监控、容量规划及连续性计划的执行。是应急响应的总协调人。</w:t>
      </w:r>
    </w:p>
    <w:p w14:paraId="1F6724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运维项目部长：负责与甲方沟通SLA达成情况，管理日常服务请求与事件，确保符合合同交付规范。</w:t>
      </w:r>
    </w:p>
    <w:p w14:paraId="66AB0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运维工程师：负责具体技术组件的监控、日常维护、故障排查、备份执行及恢复操作。</w:t>
      </w:r>
    </w:p>
    <w:p w14:paraId="02057B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研发部：负责应用层的高可用设计、性能优化、故障根因代码修复及版本紧急发布支持。</w:t>
      </w:r>
    </w:p>
    <w:p w14:paraId="1F2884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采购部/备品备件管理员：确保关键备品备件（如服务器硬盘、网络模块）的库存充足，满足应急更换需求。</w:t>
      </w:r>
    </w:p>
    <w:p w14:paraId="2187F0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质量部：定期审计可用性数据与连续性计划的有效性，组织桌面推演与实战演练，并出具报告。</w:t>
      </w:r>
    </w:p>
    <w:p w14:paraId="13C3CD1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2202"/>
      <w:r>
        <w:rPr>
          <w:rFonts w:hint="default"/>
          <w:lang w:val="en-US" w:eastAsia="zh-CN"/>
        </w:rPr>
        <w:t>服务可用性管理</w:t>
      </w:r>
      <w:bookmarkEnd w:id="16"/>
    </w:p>
    <w:p w14:paraId="012210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2571"/>
      <w:r>
        <w:rPr>
          <w:rFonts w:hint="default"/>
          <w:lang w:val="en-US" w:eastAsia="zh-CN"/>
        </w:rPr>
        <w:t>可用性设计</w:t>
      </w:r>
      <w:bookmarkEnd w:id="17"/>
    </w:p>
    <w:p w14:paraId="00FEA3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架构高可用：核心数据库采用主从复制或集群架构。应用服务器采用负载均衡集群部署，避免单点故障。</w:t>
      </w:r>
    </w:p>
    <w:p w14:paraId="239A45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冗余设计：关键网络链路、电源采用冗余配置。云服务商选择具备多可用区（AZ）能力的供应商。</w:t>
      </w:r>
    </w:p>
    <w:p w14:paraId="4D47CFC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002"/>
      <w:r>
        <w:rPr>
          <w:rFonts w:hint="default"/>
          <w:lang w:val="en-US" w:eastAsia="zh-CN"/>
        </w:rPr>
        <w:t>监控与度量</w:t>
      </w:r>
      <w:bookmarkEnd w:id="18"/>
    </w:p>
    <w:p w14:paraId="48039B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监控对象：对应用服务端口、关键业务接口响应时间、服务器资源（CPU、内存、磁盘、网络）利用率、数据库连接数等进行7x24小时监控。</w:t>
      </w:r>
    </w:p>
    <w:p w14:paraId="771A1E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SLA度量：基于监控数据，每月自动生成《服务可用性报告》，计算各核心模块及整体可用性百分比，与合同目标进行比对分析。</w:t>
      </w:r>
    </w:p>
    <w:p w14:paraId="611B78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容量监控：定期分析资源使用趋势，预测未来3-6个月的容量需求，提前启动扩容流程。</w:t>
      </w:r>
    </w:p>
    <w:p w14:paraId="4AD255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0574"/>
      <w:r>
        <w:rPr>
          <w:rFonts w:hint="default"/>
          <w:lang w:val="en-US" w:eastAsia="zh-CN"/>
        </w:rPr>
        <w:t>预防性维护</w:t>
      </w:r>
      <w:bookmarkEnd w:id="19"/>
    </w:p>
    <w:p w14:paraId="7FC681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建立并执行定期健康检查清单，包括日志清理、索引优化、配置核查等。</w:t>
      </w:r>
    </w:p>
    <w:p w14:paraId="0BBACB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所有计划内维护（如系统升级、硬件更换）必须提前至少3个工作日 通知甲方，并安排在业务低峰期进行。</w:t>
      </w:r>
    </w:p>
    <w:p w14:paraId="2408B4E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7060"/>
      <w:r>
        <w:rPr>
          <w:rFonts w:hint="default"/>
          <w:lang w:val="en-US" w:eastAsia="zh-CN"/>
        </w:rPr>
        <w:t>服务连续性管理（业务连续性计划，BCP）</w:t>
      </w:r>
      <w:bookmarkEnd w:id="20"/>
    </w:p>
    <w:p w14:paraId="017A7B1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1918"/>
      <w:r>
        <w:rPr>
          <w:rFonts w:hint="default"/>
          <w:lang w:val="en-US" w:eastAsia="zh-CN"/>
        </w:rPr>
        <w:t>业务影响分析 (BIA)</w:t>
      </w:r>
      <w:bookmarkEnd w:id="21"/>
    </w:p>
    <w:p w14:paraId="31737B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识别本服务中断对甲方业务造成的财务、运营、声誉影响。</w:t>
      </w:r>
    </w:p>
    <w:p w14:paraId="43AD00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确定本服务的 关键恢复优先级：</w:t>
      </w:r>
    </w:p>
    <w:p w14:paraId="7976E82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核心数据库与用户认证</w:t>
      </w:r>
    </w:p>
    <w:p w14:paraId="211DA4D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bookmarkStart w:id="28" w:name="_GoBack"/>
      <w:bookmarkEnd w:id="28"/>
      <w:r>
        <w:rPr>
          <w:rFonts w:hint="default"/>
          <w:lang w:val="en-US" w:eastAsia="zh-CN"/>
        </w:rPr>
        <w:t>数据交换/核保接口</w:t>
      </w:r>
    </w:p>
    <w:p w14:paraId="7591560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结算与对账模块</w:t>
      </w:r>
    </w:p>
    <w:p w14:paraId="4CF6D60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患者服务/健康管理模块</w:t>
      </w:r>
    </w:p>
    <w:p w14:paraId="72418B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4765"/>
      <w:r>
        <w:rPr>
          <w:rFonts w:hint="default"/>
          <w:lang w:val="en-US" w:eastAsia="zh-CN"/>
        </w:rPr>
        <w:t>恢复策略</w:t>
      </w:r>
      <w:bookmarkEnd w:id="22"/>
    </w:p>
    <w:p w14:paraId="30B3E5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数据备份策略：执行“完全备份（每周）+增量备份（每日）”策略，备份数据异地（跨机房或跨云区域）保存至少30天。定期（每季度）进行备份恢复测试。</w:t>
      </w:r>
    </w:p>
    <w:p w14:paraId="6BCD85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基础设施恢复：与云服务商签订协议，确保能在备用可用区快速启动预配置的虚拟机镜像。</w:t>
      </w:r>
    </w:p>
    <w:p w14:paraId="573ED1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人员与联络：明确危机管理小组及其替补人员，维护紧急情况下甲方、供应商、内部团队的关键联系人清单。</w:t>
      </w:r>
    </w:p>
    <w:p w14:paraId="36A8C27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0315"/>
      <w:r>
        <w:rPr>
          <w:rFonts w:hint="default"/>
          <w:lang w:val="en-US" w:eastAsia="zh-CN"/>
        </w:rPr>
        <w:t>应急预案</w:t>
      </w:r>
      <w:bookmarkEnd w:id="23"/>
    </w:p>
    <w:p w14:paraId="7825D5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针对不同中断场景（如单服务器故障、数据库宕机、机房级灾难、大规模网络攻击）制定分级应急预案。</w:t>
      </w:r>
    </w:p>
    <w:p w14:paraId="2A64E0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预案内容须包括：触发条件、应急指挥流程、具体恢复步骤、所需资源、沟通计划。</w:t>
      </w:r>
    </w:p>
    <w:p w14:paraId="7D3E147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2565"/>
      <w:r>
        <w:rPr>
          <w:rFonts w:hint="default"/>
          <w:lang w:val="en-US" w:eastAsia="zh-CN"/>
        </w:rPr>
        <w:t>演练、测试与评审</w:t>
      </w:r>
      <w:bookmarkEnd w:id="24"/>
    </w:p>
    <w:p w14:paraId="61C6C7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6904"/>
      <w:r>
        <w:rPr>
          <w:rFonts w:hint="default"/>
          <w:lang w:val="en-US" w:eastAsia="zh-CN"/>
        </w:rPr>
        <w:t>演练计划</w:t>
      </w:r>
      <w:bookmarkEnd w:id="25"/>
    </w:p>
    <w:p w14:paraId="27A76C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桌面推演：每半年进行一次，针对某一中断场景，由管理小组和核心成员讨论决策与协调流程。</w:t>
      </w:r>
    </w:p>
    <w:p w14:paraId="652EF7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模拟切换测试：每年至少进行一次，在不影响生产环境的前提下，测试从备份恢复数据库或在备用环境启动部分非核心服务的能力。</w:t>
      </w:r>
    </w:p>
    <w:p w14:paraId="17A0B4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演练目标：验证应急预案的可行性、团队响应速度及沟通有效性。</w:t>
      </w:r>
    </w:p>
    <w:p w14:paraId="1B89F78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0857"/>
      <w:r>
        <w:rPr>
          <w:rFonts w:hint="default"/>
          <w:lang w:val="en-US" w:eastAsia="zh-CN"/>
        </w:rPr>
        <w:t>计划评审与更新</w:t>
      </w:r>
      <w:bookmarkEnd w:id="26"/>
    </w:p>
    <w:p w14:paraId="50B406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本计划应每年至少进行一次正式评审。</w:t>
      </w:r>
    </w:p>
    <w:p w14:paraId="21B666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在发生以下情况时，必须立即触发评审与更新：</w:t>
      </w:r>
    </w:p>
    <w:p w14:paraId="20F1811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实际发生重大服务中断事件后。</w:t>
      </w:r>
    </w:p>
    <w:p w14:paraId="60A643D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甲方业务需求或合同SLA发生重大变更。</w:t>
      </w:r>
    </w:p>
    <w:p w14:paraId="7199F14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本服务的技术架构进行重大调整。</w:t>
      </w:r>
    </w:p>
    <w:p w14:paraId="09B11AD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年度演练结束后，基于演练结果进行优化。</w:t>
      </w:r>
    </w:p>
    <w:p w14:paraId="53E2459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6068"/>
      <w:r>
        <w:rPr>
          <w:rFonts w:hint="default"/>
          <w:lang w:val="en-US" w:eastAsia="zh-CN"/>
        </w:rPr>
        <w:t>沟通与报告</w:t>
      </w:r>
      <w:bookmarkEnd w:id="27"/>
    </w:p>
    <w:p w14:paraId="2E14D9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定期向甲方提供包含可用性指标、重大事件摘要及改进措施的《服务报告》。</w:t>
      </w:r>
    </w:p>
    <w:p w14:paraId="14DACC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发生导致SLA可能无法达成的重大或潜在中断时，立即启动升级沟通流程，按合同约定及内部程序通知甲方指定联系人及公司管理层。</w:t>
      </w:r>
    </w:p>
    <w:p w14:paraId="3A420D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所有连续性演练及实际应急响应结束后，均需编写复盘报告，归档并提交质量部审核。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4DA4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F059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6724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9466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AB32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911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4183C7E"/>
    <w:multiLevelType w:val="singleLevel"/>
    <w:tmpl w:val="D4183C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A3ACF84"/>
    <w:multiLevelType w:val="singleLevel"/>
    <w:tmpl w:val="DA3ACF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7B44CAA"/>
    <w:multiLevelType w:val="singleLevel"/>
    <w:tmpl w:val="57B44C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CE1715"/>
    <w:rsid w:val="13E175CD"/>
    <w:rsid w:val="1BE3026F"/>
    <w:rsid w:val="384B0F7C"/>
    <w:rsid w:val="386F66A6"/>
    <w:rsid w:val="38C70290"/>
    <w:rsid w:val="40D31924"/>
    <w:rsid w:val="46256C99"/>
    <w:rsid w:val="4D1B1EE6"/>
    <w:rsid w:val="521A36CE"/>
    <w:rsid w:val="5E7E46CC"/>
    <w:rsid w:val="612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2415</Words>
  <Characters>2615</Characters>
  <Lines>0</Lines>
  <Paragraphs>0</Paragraphs>
  <TotalTime>0</TotalTime>
  <ScaleCrop>false</ScaleCrop>
  <LinksUpToDate>false</LinksUpToDate>
  <CharactersWithSpaces>2859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2026-07-01T03:15:04Z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