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50C1A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50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84DF6A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81"/>
      <w:r>
        <w:rPr>
          <w:rFonts w:hint="eastAsia"/>
          <w:lang w:val="en-US" w:eastAsia="zh-CN"/>
        </w:rPr>
        <w:t>供应商管理制度</w:t>
      </w:r>
      <w:bookmarkEnd w:id="1"/>
    </w:p>
    <w:p w14:paraId="009D22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文件编号：ZGS-08-00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7BB4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306D7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采购</w:t>
            </w:r>
            <w:bookmarkStart w:id="22" w:name="_GoBack"/>
            <w:bookmarkEnd w:id="22"/>
            <w:r>
              <w:rPr>
                <w:rFonts w:hint="eastAsia"/>
                <w:u w:val="single"/>
                <w:vertAlign w:val="baseline"/>
                <w:lang w:val="en-US" w:eastAsia="zh-CN"/>
              </w:rPr>
              <w:t>部</w:t>
            </w:r>
          </w:p>
        </w:tc>
        <w:tc>
          <w:tcPr>
            <w:tcW w:w="2708" w:type="dxa"/>
          </w:tcPr>
          <w:p w14:paraId="3DDCB6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2025.02.10</w:t>
            </w:r>
          </w:p>
        </w:tc>
      </w:tr>
      <w:tr w14:paraId="05ED9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E1FCC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A0E1C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2025.02.10</w:t>
            </w:r>
          </w:p>
        </w:tc>
      </w:tr>
      <w:tr w14:paraId="546C9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CAF1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66059F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2025.02.10</w:t>
            </w:r>
          </w:p>
        </w:tc>
      </w:tr>
    </w:tbl>
    <w:p w14:paraId="63080D0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2D841C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62913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5210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3529B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8085F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C377E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C4DCD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7F8B20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DA35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E27DE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92CB2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5E2C2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  <w:shd w:val="clear" w:color="auto" w:fill="auto"/>
          </w:tcPr>
          <w:p w14:paraId="30F99A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  <w:shd w:val="clear" w:color="auto" w:fill="auto"/>
          </w:tcPr>
          <w:p w14:paraId="2FA79D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89" w:type="dxa"/>
            <w:shd w:val="clear" w:color="auto" w:fill="auto"/>
          </w:tcPr>
          <w:p w14:paraId="03E3B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新增应急采购</w:t>
            </w:r>
          </w:p>
        </w:tc>
        <w:tc>
          <w:tcPr>
            <w:tcW w:w="1240" w:type="dxa"/>
            <w:shd w:val="clear" w:color="auto" w:fill="auto"/>
          </w:tcPr>
          <w:p w14:paraId="29A1AB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04FC45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1555C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2EE32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75F14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F5963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3CDBE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11CEB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773C7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F09131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0F3B3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52338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3E34DD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EF226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_Toc10504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47B7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供应商管理制度</w:t>
          </w:r>
          <w:r>
            <w:tab/>
          </w:r>
          <w:r>
            <w:fldChar w:fldCharType="begin"/>
          </w:r>
          <w:r>
            <w:instrText xml:space="preserve"> PAGEREF _Toc32281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C596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_Toc11561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8495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_Toc12133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31B55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_Toc27607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A62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_Toc22716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017B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引用依据与关联文件</w:t>
          </w:r>
          <w:r>
            <w:tab/>
          </w:r>
          <w:r>
            <w:fldChar w:fldCharType="begin"/>
          </w:r>
          <w:r>
            <w:instrText xml:space="preserve"> PAGEREF _Toc10319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472E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组织与职责</w:t>
          </w:r>
          <w:r>
            <w:tab/>
          </w:r>
          <w:r>
            <w:fldChar w:fldCharType="begin"/>
          </w:r>
          <w:r>
            <w:instrText xml:space="preserve"> PAGEREF _Toc16389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9632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采购部</w:t>
          </w:r>
          <w:r>
            <w:tab/>
          </w:r>
          <w:r>
            <w:fldChar w:fldCharType="begin"/>
          </w:r>
          <w:r>
            <w:instrText xml:space="preserve"> PAGEREF _Toc18951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1EC8F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运维部</w:t>
          </w:r>
          <w:r>
            <w:tab/>
          </w:r>
          <w:r>
            <w:fldChar w:fldCharType="begin"/>
          </w:r>
          <w:r>
            <w:instrText xml:space="preserve"> PAGEREF _Toc19266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36D3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_Toc29117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4F52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质量部：</w:t>
          </w:r>
          <w:r>
            <w:tab/>
          </w:r>
          <w:r>
            <w:fldChar w:fldCharType="begin"/>
          </w:r>
          <w:r>
            <w:instrText xml:space="preserve"> PAGEREF _Toc10231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31E9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供应商全生命周期管理流程</w:t>
          </w:r>
          <w:r>
            <w:tab/>
          </w:r>
          <w:r>
            <w:fldChar w:fldCharType="begin"/>
          </w:r>
          <w:r>
            <w:instrText xml:space="preserve"> PAGEREF _Toc20406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0855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供应商开发与准入</w:t>
          </w:r>
          <w:r>
            <w:tab/>
          </w:r>
          <w:r>
            <w:fldChar w:fldCharType="begin"/>
          </w:r>
          <w:r>
            <w:instrText xml:space="preserve"> PAGEREF _Toc25310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2F12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采购与合同签订</w:t>
          </w:r>
          <w:r>
            <w:tab/>
          </w:r>
          <w:r>
            <w:fldChar w:fldCharType="begin"/>
          </w:r>
          <w:r>
            <w:instrText xml:space="preserve"> PAGEREF _Toc3372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D6756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4.2.1. </w:t>
          </w:r>
          <w:r>
            <w:rPr>
              <w:rFonts w:hint="eastAsia"/>
              <w:lang w:val="en-US" w:eastAsia="zh-CN"/>
            </w:rPr>
            <w:t>常规采购</w:t>
          </w:r>
          <w:r>
            <w:tab/>
          </w:r>
          <w:r>
            <w:fldChar w:fldCharType="begin"/>
          </w:r>
          <w:r>
            <w:instrText xml:space="preserve"> PAGEREF _Toc6692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A810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4.2.2. </w:t>
          </w:r>
          <w:r>
            <w:rPr>
              <w:rFonts w:hint="eastAsia"/>
              <w:lang w:val="en-US" w:eastAsia="zh-CN"/>
            </w:rPr>
            <w:t>应急采购</w:t>
          </w:r>
          <w:r>
            <w:tab/>
          </w:r>
          <w:r>
            <w:fldChar w:fldCharType="begin"/>
          </w:r>
          <w:r>
            <w:instrText xml:space="preserve"> PAGEREF _Toc27136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EA1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供应商绩效评价</w:t>
          </w:r>
          <w:r>
            <w:tab/>
          </w:r>
          <w:r>
            <w:fldChar w:fldCharType="begin"/>
          </w:r>
          <w:r>
            <w:instrText xml:space="preserve"> PAGEREF _Toc1743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1B8F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供应商激励与改进</w:t>
          </w:r>
          <w:r>
            <w:tab/>
          </w:r>
          <w:r>
            <w:fldChar w:fldCharType="begin"/>
          </w:r>
          <w:r>
            <w:instrText xml:space="preserve"> PAGEREF _Toc31018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70CC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供应商退出</w:t>
          </w:r>
          <w:r>
            <w:tab/>
          </w:r>
          <w:r>
            <w:fldChar w:fldCharType="begin"/>
          </w:r>
          <w:r>
            <w:instrText xml:space="preserve"> PAGEREF _Toc15859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1889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风险管理</w:t>
          </w:r>
          <w:r>
            <w:tab/>
          </w:r>
          <w:r>
            <w:fldChar w:fldCharType="begin"/>
          </w:r>
          <w:r>
            <w:instrText xml:space="preserve"> PAGEREF _Toc31102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D5C9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_Toc20698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10AA9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093DA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6186520">
      <w:pPr>
        <w:pStyle w:val="28"/>
        <w:bidi w:val="0"/>
        <w:rPr>
          <w:rFonts w:hint="default"/>
          <w:lang w:val="en-US" w:eastAsia="zh-CN"/>
        </w:rPr>
      </w:pPr>
      <w:bookmarkStart w:id="2" w:name="_Toc11561"/>
      <w:r>
        <w:rPr>
          <w:rFonts w:hint="default"/>
          <w:lang w:val="en-US" w:eastAsia="zh-CN"/>
        </w:rPr>
        <w:t>总则</w:t>
      </w:r>
      <w:bookmarkEnd w:id="2"/>
    </w:p>
    <w:p w14:paraId="7EE4A280">
      <w:pPr>
        <w:pStyle w:val="30"/>
        <w:bidi w:val="0"/>
        <w:rPr>
          <w:rFonts w:hint="default"/>
          <w:lang w:val="en-US" w:eastAsia="zh-CN"/>
        </w:rPr>
      </w:pPr>
      <w:bookmarkStart w:id="3" w:name="_Toc12133"/>
      <w:r>
        <w:rPr>
          <w:rFonts w:hint="default"/>
          <w:lang w:val="en-US" w:eastAsia="zh-CN"/>
        </w:rPr>
        <w:t>目的</w:t>
      </w:r>
      <w:bookmarkEnd w:id="3"/>
    </w:p>
    <w:p w14:paraId="55215A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重庆市鹧鸪哨信息技术有限责任公司（以下简称“公司”）对供应商的开发、选择、评价与管理流程，确保供应商提供的产品、服务符合公司项目交付、质量、成本及信息安全要求，支撑公司业务持续稳定发展，特制定本制度。</w:t>
      </w:r>
    </w:p>
    <w:p w14:paraId="506497B1">
      <w:pPr>
        <w:pStyle w:val="30"/>
        <w:bidi w:val="0"/>
        <w:rPr>
          <w:rFonts w:hint="default"/>
          <w:lang w:val="en-US" w:eastAsia="zh-CN"/>
        </w:rPr>
      </w:pPr>
      <w:bookmarkStart w:id="4" w:name="_Toc27607"/>
      <w:r>
        <w:rPr>
          <w:rFonts w:hint="default"/>
          <w:lang w:val="en-US" w:eastAsia="zh-CN"/>
        </w:rPr>
        <w:t>适用范围</w:t>
      </w:r>
      <w:bookmarkEnd w:id="4"/>
    </w:p>
    <w:p w14:paraId="476EC5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本制度适用于为公司各类项目（如运维服务、软件开发、系统集成）提供产品（包括软件、硬件、备品备件）与服务的所有供应商的全生命周期管理。</w:t>
      </w:r>
    </w:p>
    <w:p w14:paraId="7FE5956C">
      <w:pPr>
        <w:pStyle w:val="30"/>
        <w:bidi w:val="0"/>
        <w:rPr>
          <w:rFonts w:hint="default"/>
          <w:lang w:val="en-US" w:eastAsia="zh-CN"/>
        </w:rPr>
      </w:pPr>
      <w:bookmarkStart w:id="5" w:name="_Toc22716"/>
      <w:r>
        <w:rPr>
          <w:rFonts w:hint="default"/>
          <w:lang w:val="en-US" w:eastAsia="zh-CN"/>
        </w:rPr>
        <w:t>原则</w:t>
      </w:r>
      <w:bookmarkEnd w:id="5"/>
    </w:p>
    <w:p w14:paraId="1F69E9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战略协同原则： 选择与公司长期发展战略相匹配的供应商。</w:t>
      </w:r>
    </w:p>
    <w:p w14:paraId="079D63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质量优先原则： 供应商提供的产品或服务必须满足公司与客户约定的质量标准。</w:t>
      </w:r>
    </w:p>
    <w:p w14:paraId="2A1EBF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公开、公平、公正原则： 采购过程应透明，避免不正当竞争。</w:t>
      </w:r>
    </w:p>
    <w:p w14:paraId="65ADA2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合作共赢原则： 发展与核心供应商的长期稳定合作关系，实现共同成长。</w:t>
      </w:r>
    </w:p>
    <w:p w14:paraId="04B2A6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 对供应商进行持续的风险评估与监控。</w:t>
      </w:r>
    </w:p>
    <w:p w14:paraId="5305BEE6">
      <w:pPr>
        <w:pStyle w:val="28"/>
        <w:bidi w:val="0"/>
        <w:rPr>
          <w:rFonts w:hint="default"/>
          <w:lang w:val="en-US" w:eastAsia="zh-CN"/>
        </w:rPr>
      </w:pPr>
      <w:bookmarkStart w:id="6" w:name="_Toc10319"/>
      <w:r>
        <w:rPr>
          <w:rFonts w:hint="default"/>
          <w:lang w:val="en-US" w:eastAsia="zh-CN"/>
        </w:rPr>
        <w:t>引用依据与关联文件</w:t>
      </w:r>
      <w:bookmarkEnd w:id="6"/>
    </w:p>
    <w:p w14:paraId="04DE39B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《中华人民共和国招标投标法》</w:t>
      </w:r>
    </w:p>
    <w:p w14:paraId="6F86A1A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《中华人民共和国合同法》</w:t>
      </w:r>
    </w:p>
    <w:p w14:paraId="43A65DE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</w:t>
      </w:r>
      <w:r>
        <w:rPr>
          <w:rFonts w:hint="eastAsia"/>
          <w:lang w:val="en-US" w:eastAsia="zh-CN"/>
        </w:rPr>
        <w:t>-2022</w:t>
      </w:r>
      <w:r>
        <w:rPr>
          <w:rFonts w:hint="default"/>
          <w:lang w:val="en-US" w:eastAsia="zh-CN"/>
        </w:rPr>
        <w:t>《信息技术服务 运行维护 第1部分：通用要求》</w:t>
      </w:r>
    </w:p>
    <w:p w14:paraId="66E5754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公司《备件库管理制度》</w:t>
      </w:r>
    </w:p>
    <w:p w14:paraId="197DBA12">
      <w:pPr>
        <w:pStyle w:val="28"/>
        <w:bidi w:val="0"/>
        <w:rPr>
          <w:rFonts w:hint="default"/>
          <w:lang w:val="en-US" w:eastAsia="zh-CN"/>
        </w:rPr>
      </w:pPr>
      <w:bookmarkStart w:id="7" w:name="_Toc16389"/>
      <w:r>
        <w:rPr>
          <w:rFonts w:hint="default"/>
          <w:lang w:val="en-US" w:eastAsia="zh-CN"/>
        </w:rPr>
        <w:t>组织与职责</w:t>
      </w:r>
      <w:bookmarkEnd w:id="7"/>
    </w:p>
    <w:p w14:paraId="173DF6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依据《人员岗位说明书》，明确供应商管理各相关方职责：</w:t>
      </w:r>
    </w:p>
    <w:p w14:paraId="0C47C2D7">
      <w:pPr>
        <w:pStyle w:val="30"/>
        <w:bidi w:val="0"/>
        <w:rPr>
          <w:rFonts w:hint="default"/>
          <w:lang w:val="en-US" w:eastAsia="zh-CN"/>
        </w:rPr>
      </w:pPr>
      <w:bookmarkStart w:id="8" w:name="_Toc18951"/>
      <w:r>
        <w:rPr>
          <w:rFonts w:hint="default"/>
          <w:lang w:val="en-US" w:eastAsia="zh-CN"/>
        </w:rPr>
        <w:t>采购部</w:t>
      </w:r>
      <w:bookmarkEnd w:id="8"/>
    </w:p>
    <w:p w14:paraId="7C1DD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作为供应商管理的归口部门，负责组织供应商的开发、调查、准入、年度评价与退出。</w:t>
      </w:r>
    </w:p>
    <w:p w14:paraId="57CD07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采购专员负责具体执行供应商寻源、资质初审、日常沟通、合同签订及履行跟进。</w:t>
      </w:r>
    </w:p>
    <w:p w14:paraId="36934F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采购部部长负责审核《合格供方名录》、审批采购策略及重大采购合同。</w:t>
      </w:r>
    </w:p>
    <w:p w14:paraId="7F1952D6">
      <w:pPr>
        <w:pStyle w:val="30"/>
        <w:bidi w:val="0"/>
        <w:rPr>
          <w:rFonts w:hint="default"/>
          <w:lang w:val="en-US" w:eastAsia="zh-CN"/>
        </w:rPr>
      </w:pPr>
      <w:bookmarkStart w:id="9" w:name="_Toc19266"/>
      <w:r>
        <w:rPr>
          <w:rFonts w:hint="default"/>
          <w:lang w:val="en-US" w:eastAsia="zh-CN"/>
        </w:rPr>
        <w:t>运维部</w:t>
      </w:r>
      <w:bookmarkEnd w:id="9"/>
    </w:p>
    <w:p w14:paraId="7F0FEF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提出对运维相关产品及服务的具体技术、质量及服务响应要求。</w:t>
      </w:r>
    </w:p>
    <w:p w14:paraId="31F41F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参与对供应商技术方案、服务能力的评估。</w:t>
      </w:r>
    </w:p>
    <w:p w14:paraId="2341D7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反馈供应商在产品交付、现场服务、备件供应（依据《备件库管理制度》）等方面的履约表现。</w:t>
      </w:r>
    </w:p>
    <w:p w14:paraId="3CE1DEC5">
      <w:pPr>
        <w:pStyle w:val="30"/>
        <w:bidi w:val="0"/>
        <w:rPr>
          <w:rFonts w:hint="default"/>
          <w:lang w:val="en-US" w:eastAsia="zh-CN"/>
        </w:rPr>
      </w:pPr>
      <w:bookmarkStart w:id="10" w:name="_Toc29117"/>
      <w:r>
        <w:rPr>
          <w:rFonts w:hint="default"/>
          <w:lang w:val="en-US" w:eastAsia="zh-CN"/>
        </w:rPr>
        <w:t>研发部</w:t>
      </w:r>
      <w:bookmarkEnd w:id="10"/>
    </w:p>
    <w:p w14:paraId="255FF3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提出软件开发、技术组件采购的技术标准和需求。</w:t>
      </w:r>
    </w:p>
    <w:p w14:paraId="35D7BA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参与对软件类、技术服务类供应商的技术评估与验收。</w:t>
      </w:r>
    </w:p>
    <w:p w14:paraId="7793EDDD">
      <w:pPr>
        <w:pStyle w:val="30"/>
        <w:bidi w:val="0"/>
        <w:rPr>
          <w:rFonts w:hint="default"/>
          <w:lang w:val="en-US" w:eastAsia="zh-CN"/>
        </w:rPr>
      </w:pPr>
      <w:bookmarkStart w:id="11" w:name="_Toc10231"/>
      <w:r>
        <w:rPr>
          <w:rFonts w:hint="default"/>
          <w:lang w:val="en-US" w:eastAsia="zh-CN"/>
        </w:rPr>
        <w:t>质量部：</w:t>
      </w:r>
      <w:bookmarkEnd w:id="11"/>
    </w:p>
    <w:p w14:paraId="6E98B7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负责对供应商提供的产品进行到货检验（参照《备件库管理制度》4.6条款）。</w:t>
      </w:r>
    </w:p>
    <w:p w14:paraId="4FCF3D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参与供应商质量保证体系的评估。</w:t>
      </w:r>
    </w:p>
    <w:p w14:paraId="3F3A6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监控和分析供应商交付物或服务的质量数据。</w:t>
      </w:r>
    </w:p>
    <w:p w14:paraId="269C668D">
      <w:pPr>
        <w:pStyle w:val="28"/>
        <w:bidi w:val="0"/>
        <w:rPr>
          <w:rFonts w:hint="default"/>
          <w:lang w:val="en-US" w:eastAsia="zh-CN"/>
        </w:rPr>
      </w:pPr>
      <w:bookmarkStart w:id="12" w:name="_Toc20406"/>
      <w:r>
        <w:rPr>
          <w:rFonts w:hint="default"/>
          <w:lang w:val="en-US" w:eastAsia="zh-CN"/>
        </w:rPr>
        <w:t>供应商全生命周期管理流程</w:t>
      </w:r>
      <w:bookmarkEnd w:id="12"/>
    </w:p>
    <w:p w14:paraId="13716EBA">
      <w:pPr>
        <w:pStyle w:val="30"/>
        <w:bidi w:val="0"/>
        <w:rPr>
          <w:rFonts w:hint="default"/>
          <w:lang w:val="en-US" w:eastAsia="zh-CN"/>
        </w:rPr>
      </w:pPr>
      <w:bookmarkStart w:id="13" w:name="_Toc25310"/>
      <w:r>
        <w:rPr>
          <w:rFonts w:hint="default"/>
          <w:lang w:val="en-US" w:eastAsia="zh-CN"/>
        </w:rPr>
        <w:t>供应商开发与准入</w:t>
      </w:r>
      <w:bookmarkEnd w:id="13"/>
    </w:p>
    <w:p w14:paraId="5F01DA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需求提出：业务部门（如运维部、研发部）根据项目或维护需要，提出明确的采购需求。</w:t>
      </w:r>
    </w:p>
    <w:p w14:paraId="0BF16E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寻源与调查：采购专员负责市场寻源，收集潜在供应商信息，并组织进行初步调查，填写《潜在供应商调查表》，内容应包括但不限于：工商资质、财务状况、技术能力、主要客户案例、质量与环境管理体系认证等。</w:t>
      </w:r>
    </w:p>
    <w:p w14:paraId="718A9F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评估与审批：采购部组织由需求部门、质量部、技术部门组成的评估小组，对潜在供应商进行综合评估。评估通过后，由采购部部长审批，纳入《合格供方名录》。</w:t>
      </w:r>
    </w:p>
    <w:p w14:paraId="3BC5B4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名录管理：《合格供方名录》为动态文件，由采购部负责维护与定期更新。</w:t>
      </w:r>
    </w:p>
    <w:p w14:paraId="28FF279C">
      <w:pPr>
        <w:pStyle w:val="30"/>
        <w:bidi w:val="0"/>
        <w:rPr>
          <w:rFonts w:hint="default"/>
          <w:lang w:val="en-US" w:eastAsia="zh-CN"/>
        </w:rPr>
      </w:pPr>
      <w:bookmarkStart w:id="14" w:name="_Toc3372"/>
      <w:r>
        <w:rPr>
          <w:rFonts w:hint="default"/>
          <w:lang w:val="en-US" w:eastAsia="zh-CN"/>
        </w:rPr>
        <w:t>采购与合同签订</w:t>
      </w:r>
      <w:bookmarkEnd w:id="14"/>
    </w:p>
    <w:p w14:paraId="2FD601AA">
      <w:pPr>
        <w:pStyle w:val="31"/>
        <w:bidi w:val="0"/>
        <w:rPr>
          <w:rFonts w:hint="default"/>
          <w:lang w:val="en-US" w:eastAsia="zh-CN"/>
        </w:rPr>
      </w:pPr>
      <w:bookmarkStart w:id="15" w:name="_Toc6692"/>
      <w:r>
        <w:rPr>
          <w:rFonts w:hint="eastAsia"/>
          <w:lang w:val="en-US" w:eastAsia="zh-CN"/>
        </w:rPr>
        <w:t>常规采购</w:t>
      </w:r>
      <w:bookmarkEnd w:id="15"/>
    </w:p>
    <w:p w14:paraId="7373D8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采购实施：对于通用、标准产品或服务，可从《合格供方名录》中直接选择或进行比价、议价。对于重大项目或关键物资，应按照公司规定进行招标或竞争性谈判。</w:t>
      </w:r>
    </w:p>
    <w:p w14:paraId="58BC69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合同管理：采购合同或技术协议应明确约定产品/服务规格、质量标准、交付时间、价格、付款方式、验收标准、售后服务、违约责任、保密及知识产权条款等。合同签订权限参照公司《采购合同管理办法》。</w:t>
      </w:r>
    </w:p>
    <w:p w14:paraId="422A7F3E">
      <w:pPr>
        <w:pStyle w:val="31"/>
        <w:bidi w:val="0"/>
        <w:rPr>
          <w:rFonts w:hint="default"/>
          <w:lang w:val="en-US" w:eastAsia="zh-CN"/>
        </w:rPr>
      </w:pPr>
      <w:bookmarkStart w:id="16" w:name="_Toc27136"/>
      <w:r>
        <w:rPr>
          <w:rFonts w:hint="eastAsia"/>
          <w:lang w:val="en-US" w:eastAsia="zh-CN"/>
        </w:rPr>
        <w:t>应急采购</w:t>
      </w:r>
      <w:bookmarkEnd w:id="16"/>
    </w:p>
    <w:p w14:paraId="2A74E41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为应对突发故障、紧急项目需求或不可预见的服务中断，建立应急采购机制，确保在紧急情况下能够快速、合规地获取所需物资或服务。</w:t>
      </w:r>
    </w:p>
    <w:p w14:paraId="3B21E433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应急采购触发条件</w:t>
      </w:r>
    </w:p>
    <w:p w14:paraId="364427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出现以下情况之一时，可启动应急采购流程：</w:t>
      </w:r>
    </w:p>
    <w:p w14:paraId="10A3A6A9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发生重大故障或应急事件，现有备件库存不足以支撑快速恢复服务；</w:t>
      </w:r>
    </w:p>
    <w:p w14:paraId="30FF692E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客户提出紧急业务需求，且按常规采购周期无法满足交付时限；</w:t>
      </w:r>
    </w:p>
    <w:p w14:paraId="069A286E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核心供应商突发断供、停产或无法履约，影响服务连续性；</w:t>
      </w:r>
    </w:p>
    <w:p w14:paraId="27511018">
      <w:pPr>
        <w:pStyle w:val="29"/>
        <w:numPr>
          <w:ilvl w:val="0"/>
          <w:numId w:val="4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其他经运维部部长或公司领导认定的紧急情况。</w:t>
      </w:r>
    </w:p>
    <w:p w14:paraId="230CC774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应急采购审批权限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1"/>
        <w:gridCol w:w="2060"/>
        <w:gridCol w:w="4524"/>
      </w:tblGrid>
      <w:tr w14:paraId="224EF2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5C1D2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采购金额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18C71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  <w:tc>
          <w:tcPr>
            <w:tcW w:w="45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11D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 w14:paraId="733AA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BB76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≤1万元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EB7F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754DD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事后3个工作日内补办采购申请单</w:t>
            </w:r>
          </w:p>
        </w:tc>
      </w:tr>
      <w:tr w14:paraId="54E1E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06ED2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1万元-5万元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5D5B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分管副总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74010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需口头请示并事后补办书面审批</w:t>
            </w:r>
          </w:p>
        </w:tc>
      </w:tr>
      <w:tr w14:paraId="7E9FC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261B9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&gt;5万元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45B8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4D6D4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需口头请示并事后补办书面审批</w:t>
            </w:r>
          </w:p>
        </w:tc>
      </w:tr>
    </w:tbl>
    <w:p w14:paraId="247665E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应急采购实施流程</w:t>
      </w:r>
    </w:p>
    <w:p w14:paraId="63F730DF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紧急需求确认：运维部部长或运维项目部长确认应急采购需求，明确所需物资/服务的规格、数量、交付时限。</w:t>
      </w:r>
    </w:p>
    <w:p w14:paraId="3E37D824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供应商选择：优先从《合格供方名录》中选择能够满足紧急交付要求的供应商。若名录内供应商无法满足，可临时选择具备相应资质的供应商，但需在事后补办供应商准入手续。</w:t>
      </w:r>
    </w:p>
    <w:p w14:paraId="56B34EEB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口头审批：按上述权限向相应审批人进行口头请示，获批后立即执行采购。</w:t>
      </w:r>
    </w:p>
    <w:p w14:paraId="08FB3C47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采购执行：采购专员或运维部人员可直接执行采购，同步告知采购部备案。</w:t>
      </w:r>
    </w:p>
    <w:p w14:paraId="042FE8EB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到货验收：物资到货后，由质量部依据《备件库管理制度》4.6条款进行紧急检验，确保质量符合要求。</w:t>
      </w:r>
    </w:p>
    <w:p w14:paraId="4BE9EAC1">
      <w:pPr>
        <w:pStyle w:val="29"/>
        <w:numPr>
          <w:ilvl w:val="0"/>
          <w:numId w:val="5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事后补办：应急采购完成后，采购专员应在3个工作日内补办《应急采购申请单》、采购合同及验收记录，完成正式入库和财务结算手续。</w:t>
      </w:r>
    </w:p>
    <w:p w14:paraId="533568EE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应急采购记录管理</w:t>
      </w:r>
    </w:p>
    <w:p w14:paraId="6533C1E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所有应急采购必须保留完整记录，包括：</w:t>
      </w:r>
    </w:p>
    <w:p w14:paraId="5C826948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《应急采购申请单》（附件一）；</w:t>
      </w:r>
    </w:p>
    <w:p w14:paraId="6F941BF0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采购合同或订单记录；</w:t>
      </w:r>
    </w:p>
    <w:p w14:paraId="1145019D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到货验收记录；</w:t>
      </w:r>
    </w:p>
    <w:p w14:paraId="5CD555A0">
      <w:pPr>
        <w:pStyle w:val="29"/>
        <w:numPr>
          <w:ilvl w:val="0"/>
          <w:numId w:val="6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审批记录（口头请示需在补办时注明审批人及时间）。</w:t>
      </w:r>
    </w:p>
    <w:p w14:paraId="12CF8D1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应急采购定期评审</w:t>
      </w:r>
    </w:p>
    <w:p w14:paraId="765C64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采购部每半年组织一次应急采购评审，分析应急采购的频次、原因及流程执行情况，评估备件库存策略的合理性，提出改进建议，减少不必要的应急采购。</w:t>
      </w:r>
    </w:p>
    <w:p w14:paraId="77C0160B">
      <w:pPr>
        <w:pStyle w:val="30"/>
        <w:bidi w:val="0"/>
        <w:rPr>
          <w:rFonts w:hint="default"/>
          <w:lang w:val="en-US" w:eastAsia="zh-CN"/>
        </w:rPr>
      </w:pPr>
      <w:bookmarkStart w:id="17" w:name="_Toc1743"/>
      <w:r>
        <w:rPr>
          <w:rFonts w:hint="default"/>
          <w:lang w:val="en-US" w:eastAsia="zh-CN"/>
        </w:rPr>
        <w:t>供应商绩效评价</w:t>
      </w:r>
      <w:bookmarkEnd w:id="17"/>
    </w:p>
    <w:p w14:paraId="0CF45B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日常评价：各相关部门记录供应商在订单交付、产品质量、服务质量、问题响应、备件供应（依据《备件库管理制度》4.5响应级别）等方面的表现。</w:t>
      </w:r>
    </w:p>
    <w:p w14:paraId="4FCD3A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定期评价：采购部每年至少组织一次对合格供应商的定期综合评价，评价维度应包括：</w:t>
      </w:r>
    </w:p>
    <w:p w14:paraId="11B823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质量：到货合格率、故障率、问题解决有效性。</w:t>
      </w:r>
    </w:p>
    <w:p w14:paraId="1F4381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交付：准时交付率、备件响应及时性。</w:t>
      </w:r>
    </w:p>
    <w:p w14:paraId="7C8A48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服务：技术支持、沟通配合度。</w:t>
      </w:r>
    </w:p>
    <w:p w14:paraId="1961F7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成本：价格竞争力、性价比。</w:t>
      </w:r>
    </w:p>
    <w:p w14:paraId="13C235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评价分级：根据评价结果，将供应商划分为 A（优秀）、B（合格）、C（待观察）、D（不合格） 四个等级。</w:t>
      </w:r>
    </w:p>
    <w:p w14:paraId="23EE479F">
      <w:pPr>
        <w:pStyle w:val="30"/>
        <w:bidi w:val="0"/>
        <w:rPr>
          <w:rFonts w:hint="default"/>
          <w:lang w:val="en-US" w:eastAsia="zh-CN"/>
        </w:rPr>
      </w:pPr>
      <w:bookmarkStart w:id="18" w:name="_Toc31018"/>
      <w:r>
        <w:rPr>
          <w:rFonts w:hint="default"/>
          <w:lang w:val="en-US" w:eastAsia="zh-CN"/>
        </w:rPr>
        <w:t>供应商激励与改进</w:t>
      </w:r>
      <w:bookmarkEnd w:id="18"/>
    </w:p>
    <w:p w14:paraId="204966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A级供应商：可优先获得合作机会，考虑发展为战略合作伙伴。</w:t>
      </w:r>
    </w:p>
    <w:p w14:paraId="65D506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B级供应商：维持正常合作关系。</w:t>
      </w:r>
    </w:p>
    <w:p w14:paraId="422D25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C级供应商：采购部需向其发出书面改进通知，限期整改，并减少订单份额。</w:t>
      </w:r>
    </w:p>
    <w:p w14:paraId="64C130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D级供应商：启动退出程序。</w:t>
      </w:r>
    </w:p>
    <w:p w14:paraId="7011EC89">
      <w:pPr>
        <w:pStyle w:val="30"/>
        <w:bidi w:val="0"/>
        <w:rPr>
          <w:rFonts w:hint="default"/>
          <w:lang w:val="en-US" w:eastAsia="zh-CN"/>
        </w:rPr>
      </w:pPr>
      <w:bookmarkStart w:id="19" w:name="_Toc15859"/>
      <w:r>
        <w:rPr>
          <w:rFonts w:hint="default"/>
          <w:lang w:val="en-US" w:eastAsia="zh-CN"/>
        </w:rPr>
        <w:t>供应商退出</w:t>
      </w:r>
      <w:bookmarkEnd w:id="19"/>
    </w:p>
    <w:p w14:paraId="1097E7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发生以下情况之一，经审批后，供应商应从《合格供方名录》中移除：</w:t>
      </w:r>
    </w:p>
    <w:p w14:paraId="014B577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经评价为D级且整改无效。</w:t>
      </w:r>
    </w:p>
    <w:p w14:paraId="550D08B0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提供虚假资质或信息。</w:t>
      </w:r>
    </w:p>
    <w:p w14:paraId="1FBDE6A7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出现重大质量问题、交付延迟，对公司项目造成严重影响。</w:t>
      </w:r>
    </w:p>
    <w:p w14:paraId="4FE9152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违反合同关键条款（如保密协议）。</w:t>
      </w:r>
    </w:p>
    <w:p w14:paraId="01929CA3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公司业务战略调整。</w:t>
      </w:r>
    </w:p>
    <w:p w14:paraId="4415F8C8">
      <w:pPr>
        <w:pStyle w:val="28"/>
        <w:bidi w:val="0"/>
        <w:rPr>
          <w:rFonts w:hint="default"/>
          <w:lang w:val="en-US" w:eastAsia="zh-CN"/>
        </w:rPr>
      </w:pPr>
      <w:bookmarkStart w:id="20" w:name="_Toc31102"/>
      <w:r>
        <w:rPr>
          <w:rFonts w:hint="default"/>
          <w:lang w:val="en-US" w:eastAsia="zh-CN"/>
        </w:rPr>
        <w:t>风险管理</w:t>
      </w:r>
      <w:bookmarkEnd w:id="20"/>
    </w:p>
    <w:p w14:paraId="053942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采购部应建立供应商风险档案，关注其经营状况、行业政策等变化。</w:t>
      </w:r>
    </w:p>
    <w:p w14:paraId="06B7D6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对于提供关键产品或服务的核心供应商，应制定备选方案，以降低供应中断风险。</w:t>
      </w:r>
    </w:p>
    <w:p w14:paraId="4946DE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所有供应商须与公司签订《保密协议》，以保护公司及客户信息安全。</w:t>
      </w:r>
    </w:p>
    <w:p w14:paraId="599C1E03">
      <w:pPr>
        <w:pStyle w:val="28"/>
        <w:bidi w:val="0"/>
        <w:rPr>
          <w:rFonts w:hint="default"/>
          <w:lang w:val="en-US" w:eastAsia="zh-CN"/>
        </w:rPr>
      </w:pPr>
      <w:bookmarkStart w:id="21" w:name="_Toc20698"/>
      <w:r>
        <w:rPr>
          <w:rFonts w:hint="default"/>
          <w:lang w:val="en-US" w:eastAsia="zh-CN"/>
        </w:rPr>
        <w:t>附则</w:t>
      </w:r>
      <w:bookmarkEnd w:id="21"/>
    </w:p>
    <w:p w14:paraId="646DA2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本制度由采购部负责解释与修订。</w:t>
      </w:r>
    </w:p>
    <w:p w14:paraId="3AC967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本制度自发布之日起生效，公司原有相关规定与本制度不一致的，以本制度为准。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3C85DA">
    <w:pPr>
      <w:pStyle w:val="1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36B845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52F9B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5BB7E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780AE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F225E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E412123"/>
    <w:multiLevelType w:val="singleLevel"/>
    <w:tmpl w:val="BE4121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EE03198"/>
    <w:multiLevelType w:val="singleLevel"/>
    <w:tmpl w:val="BEE03198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2527A3F5"/>
    <w:multiLevelType w:val="singleLevel"/>
    <w:tmpl w:val="2527A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5071AA0"/>
    <w:multiLevelType w:val="singleLevel"/>
    <w:tmpl w:val="65071A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B9670B9"/>
    <w:multiLevelType w:val="singleLevel"/>
    <w:tmpl w:val="6B9670B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7071F839"/>
    <w:multiLevelType w:val="singleLevel"/>
    <w:tmpl w:val="7071F83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066BDF"/>
    <w:rsid w:val="366923D6"/>
    <w:rsid w:val="422E5823"/>
    <w:rsid w:val="44373BC6"/>
    <w:rsid w:val="53FD32A8"/>
    <w:rsid w:val="5A361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2773</Words>
  <Characters>2915</Characters>
  <Lines>0</Lines>
  <Paragraphs>0</Paragraphs>
  <TotalTime>0</TotalTime>
  <ScaleCrop>false</ScaleCrop>
  <LinksUpToDate>false</LinksUpToDate>
  <CharactersWithSpaces>3188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2026-07-01T03:19:08Z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