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BD45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00" w:beforeLines="1000"/>
        <w:textAlignment w:val="baseline"/>
      </w:pPr>
      <w:bookmarkStart w:id="0" w:name="_Toc26101"/>
      <w:bookmarkStart w:id="1" w:name="_Toc1286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1945" cy="9049385"/>
            <wp:effectExtent l="0" t="0" r="8255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04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 w14:paraId="7BB563A2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中国广电重庆BOSS系统存储维保项目-交付方案</w:t>
      </w:r>
    </w:p>
    <w:p w14:paraId="621756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480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文件编号：ZGS-09-02</w:t>
      </w:r>
    </w:p>
    <w:tbl>
      <w:tblPr>
        <w:tblStyle w:val="2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8980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552D1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AF130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2025.01.05</w:t>
            </w:r>
          </w:p>
        </w:tc>
      </w:tr>
      <w:tr w14:paraId="53DF1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1459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B30F6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2025.01.05</w:t>
            </w:r>
          </w:p>
        </w:tc>
      </w:tr>
      <w:tr w14:paraId="64FFF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E93C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3D05DC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2025.01.05</w:t>
            </w:r>
          </w:p>
        </w:tc>
      </w:tr>
    </w:tbl>
    <w:p w14:paraId="6E9C27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40800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AB8E9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B2F17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56CED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A1C68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2BD32E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41E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CA96D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05</w:t>
            </w:r>
          </w:p>
        </w:tc>
        <w:tc>
          <w:tcPr>
            <w:tcW w:w="919" w:type="dxa"/>
          </w:tcPr>
          <w:p w14:paraId="39418A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E5A9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0F9A1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69D78A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B98F104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1DF7252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CA88CB4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35DACB3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45E98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B3A9929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0D39B11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24D3F18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330599A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5B077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AEC7885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14CE75A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4DA79A2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0515FC8">
            <w:pPr>
              <w:pStyle w:val="3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A8A4B0F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id w:val="147471075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napToGrid w:val="0"/>
          <w:color w:val="000000"/>
          <w:kern w:val="0"/>
          <w:sz w:val="21"/>
          <w:szCs w:val="21"/>
        </w:rPr>
      </w:sdtEndPr>
      <w:sdtContent>
        <w:p w14:paraId="6B164992">
          <w:pPr>
            <w:pStyle w:val="31"/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</w:pPr>
          <w:r>
            <w:t>目录</w:t>
          </w:r>
        </w:p>
        <w:p w14:paraId="30ED4661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 w:val="21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 w:val="21"/>
              <w:szCs w:val="21"/>
            </w:rPr>
            <w:instrText xml:space="preserve">TOC \o "1-3" \h \u </w:instrText>
          </w:r>
          <w:r>
            <w:rPr>
              <w:rFonts w:ascii="Arial" w:hAnsi="Arial" w:eastAsia="Arial" w:cs="Arial"/>
              <w:snapToGrid w:val="0"/>
              <w:color w:val="000000"/>
              <w:kern w:val="0"/>
              <w:sz w:val="21"/>
              <w:szCs w:val="21"/>
            </w:rPr>
            <w:fldChar w:fldCharType="separate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_Toc12860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_Toc12860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394BCEC8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_Toc7769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_Toc7769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EBF6A06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_Toc258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066E9C3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_Toc7546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服务目标</w:t>
          </w:r>
          <w:r>
            <w:tab/>
          </w:r>
          <w:r>
            <w:fldChar w:fldCharType="begin"/>
          </w:r>
          <w:r>
            <w:instrText xml:space="preserve"> PAGEREF _Toc7546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0850A17B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_Toc3693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服务周期</w:t>
          </w:r>
          <w:r>
            <w:tab/>
          </w:r>
          <w:r>
            <w:fldChar w:fldCharType="begin"/>
          </w:r>
          <w:r>
            <w:instrText xml:space="preserve"> PAGEREF _Toc3693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33D1B65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_Toc28015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服务范围与边界</w:t>
          </w:r>
          <w:r>
            <w:tab/>
          </w:r>
          <w:r>
            <w:fldChar w:fldCharType="begin"/>
          </w:r>
          <w:r>
            <w:instrText xml:space="preserve"> PAGEREF _Toc28015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446A9865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_Toc27657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服务对象</w:t>
          </w:r>
          <w:r>
            <w:tab/>
          </w:r>
          <w:r>
            <w:fldChar w:fldCharType="begin"/>
          </w:r>
          <w:r>
            <w:instrText xml:space="preserve"> PAGEREF _Toc27657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108CA76D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_Toc18891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服务内容</w:t>
          </w:r>
          <w:r>
            <w:tab/>
          </w:r>
          <w:r>
            <w:fldChar w:fldCharType="begin"/>
          </w:r>
          <w:r>
            <w:instrText xml:space="preserve"> PAGEREF _Toc18891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5C08B00A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_Toc24198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服务边界</w:t>
          </w:r>
          <w:r>
            <w:tab/>
          </w:r>
          <w:r>
            <w:fldChar w:fldCharType="begin"/>
          </w:r>
          <w:r>
            <w:instrText xml:space="preserve"> PAGEREF _Toc24198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2D4DF1BC">
          <w:pPr>
            <w:pStyle w:val="13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_Toc9788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服务范围包括</w:t>
          </w:r>
          <w:r>
            <w:tab/>
          </w:r>
          <w:r>
            <w:fldChar w:fldCharType="begin"/>
          </w:r>
          <w:r>
            <w:instrText xml:space="preserve"> PAGEREF _Toc9788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74E627B2">
          <w:pPr>
            <w:pStyle w:val="13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_Toc19863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服务范围不包括</w:t>
          </w:r>
          <w:r>
            <w:tab/>
          </w:r>
          <w:r>
            <w:fldChar w:fldCharType="begin"/>
          </w:r>
          <w:r>
            <w:instrText xml:space="preserve"> PAGEREF _Toc19863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105B0A7D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_Toc27518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服务模式与流程</w:t>
          </w:r>
          <w:r>
            <w:tab/>
          </w:r>
          <w:r>
            <w:fldChar w:fldCharType="begin"/>
          </w:r>
          <w:r>
            <w:instrText xml:space="preserve"> PAGEREF _Toc27518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1C9DDD80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_Toc26513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服务模式</w:t>
          </w:r>
          <w:r>
            <w:tab/>
          </w:r>
          <w:r>
            <w:fldChar w:fldCharType="begin"/>
          </w:r>
          <w:r>
            <w:instrText xml:space="preserve"> PAGEREF _Toc26513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27EA97E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_Toc31990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服务流程</w:t>
          </w:r>
          <w:r>
            <w:tab/>
          </w:r>
          <w:r>
            <w:fldChar w:fldCharType="begin"/>
          </w:r>
          <w:r>
            <w:instrText xml:space="preserve"> PAGEREF _Toc31990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C3E0662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_Toc16156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服务等级协议（SLA）</w:t>
          </w:r>
          <w:r>
            <w:tab/>
          </w:r>
          <w:r>
            <w:fldChar w:fldCharType="begin"/>
          </w:r>
          <w:r>
            <w:instrText xml:space="preserve"> PAGEREF _Toc16156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03A88C0F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_Toc21530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故障分级与响应标准</w:t>
          </w:r>
          <w:r>
            <w:tab/>
          </w:r>
          <w:r>
            <w:fldChar w:fldCharType="begin"/>
          </w:r>
          <w:r>
            <w:instrText xml:space="preserve"> PAGEREF _Toc21530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3F69F26C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_Toc7043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关键指标承诺</w:t>
          </w:r>
          <w:r>
            <w:tab/>
          </w:r>
          <w:r>
            <w:fldChar w:fldCharType="begin"/>
          </w:r>
          <w:r>
            <w:instrText xml:space="preserve"> PAGEREF _Toc7043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32C4C901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_Toc10249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_Toc10249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5511D672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_Toc14434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交付物清单</w:t>
          </w:r>
          <w:r>
            <w:tab/>
          </w:r>
          <w:r>
            <w:fldChar w:fldCharType="begin"/>
          </w:r>
          <w:r>
            <w:instrText xml:space="preserve"> PAGEREF _Toc14434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01B96B7C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_Toc2823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启动阶段</w:t>
          </w:r>
          <w:r>
            <w:tab/>
          </w:r>
          <w:r>
            <w:fldChar w:fldCharType="begin"/>
          </w:r>
          <w:r>
            <w:instrText xml:space="preserve"> PAGEREF _Toc2823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39F3388D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_Toc22455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策划阶段</w:t>
          </w:r>
          <w:r>
            <w:tab/>
          </w:r>
          <w:r>
            <w:fldChar w:fldCharType="begin"/>
          </w:r>
          <w:r>
            <w:instrText xml:space="preserve"> PAGEREF _Toc22455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7E13B1FB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_Toc29882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实施阶段</w:t>
          </w:r>
          <w:r>
            <w:tab/>
          </w:r>
          <w:r>
            <w:fldChar w:fldCharType="begin"/>
          </w:r>
          <w:r>
            <w:instrText xml:space="preserve"> PAGEREF _Toc29882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53AD3159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_Toc25005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检查阶段</w:t>
          </w:r>
          <w:r>
            <w:tab/>
          </w:r>
          <w:r>
            <w:fldChar w:fldCharType="begin"/>
          </w:r>
          <w:r>
            <w:instrText xml:space="preserve"> PAGEREF _Toc25005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7C06CAD9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_Toc10065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改进阶段</w:t>
          </w:r>
          <w:r>
            <w:tab/>
          </w:r>
          <w:r>
            <w:fldChar w:fldCharType="begin"/>
          </w:r>
          <w:r>
            <w:instrText xml:space="preserve"> PAGEREF _Toc10065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3604980A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_Toc26523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质量管控机制</w:t>
          </w:r>
          <w:r>
            <w:tab/>
          </w:r>
          <w:r>
            <w:fldChar w:fldCharType="begin"/>
          </w:r>
          <w:r>
            <w:instrText xml:space="preserve"> PAGEREF _Toc26523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0CE0C366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_Toc3850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SLA监控</w:t>
          </w:r>
          <w:r>
            <w:tab/>
          </w:r>
          <w:r>
            <w:fldChar w:fldCharType="begin"/>
          </w:r>
          <w:r>
            <w:instrText xml:space="preserve"> PAGEREF _Toc3850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5B134C4B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_Toc19462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_Toc19462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1579B229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_Toc30377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合规性检查</w:t>
          </w:r>
          <w:r>
            <w:tab/>
          </w:r>
          <w:r>
            <w:fldChar w:fldCharType="begin"/>
          </w:r>
          <w:r>
            <w:instrText xml:space="preserve"> PAGEREF _Toc30377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5F0744D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_Toc8106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rPr>
              <w:rFonts w:hint="eastAsia"/>
              <w:lang w:val="en-US" w:eastAsia="zh-CN"/>
            </w:rPr>
            <w:t>服务知识</w:t>
          </w:r>
          <w:r>
            <w:t>管理</w:t>
          </w:r>
          <w:r>
            <w:tab/>
          </w:r>
          <w:r>
            <w:fldChar w:fldCharType="begin"/>
          </w:r>
          <w:r>
            <w:instrText xml:space="preserve"> PAGEREF _Toc8106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404551D3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_Toc221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应急响应机制</w:t>
          </w:r>
          <w:r>
            <w:tab/>
          </w:r>
          <w:r>
            <w:fldChar w:fldCharType="begin"/>
          </w:r>
          <w:r>
            <w:instrText xml:space="preserve"> PAGEREF _Toc221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7B6A7E5D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_Toc980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应急触发条件</w:t>
          </w:r>
          <w:r>
            <w:tab/>
          </w:r>
          <w:r>
            <w:fldChar w:fldCharType="begin"/>
          </w:r>
          <w:r>
            <w:instrText xml:space="preserve"> PAGEREF _Toc980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0F792A1D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_Toc5549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应急流程</w:t>
          </w:r>
          <w:r>
            <w:tab/>
          </w:r>
          <w:r>
            <w:fldChar w:fldCharType="begin"/>
          </w:r>
          <w:r>
            <w:instrText xml:space="preserve"> PAGEREF _Toc5549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731DC72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_Toc9370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灾备目标</w:t>
          </w:r>
          <w:r>
            <w:tab/>
          </w:r>
          <w:r>
            <w:fldChar w:fldCharType="begin"/>
          </w:r>
          <w:r>
            <w:instrText xml:space="preserve"> PAGEREF _Toc9370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1FE88ED0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_Toc11355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沟通机制</w:t>
          </w:r>
          <w:r>
            <w:tab/>
          </w:r>
          <w:r>
            <w:fldChar w:fldCharType="begin"/>
          </w:r>
          <w:r>
            <w:instrText xml:space="preserve"> PAGEREF _Toc11355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754C638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_Toc12716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风险与应对措施</w:t>
          </w:r>
          <w:r>
            <w:tab/>
          </w:r>
          <w:r>
            <w:fldChar w:fldCharType="begin"/>
          </w:r>
          <w:r>
            <w:instrText xml:space="preserve"> PAGEREF _Toc12716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78FC319C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_Toc23913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t>验收标准</w:t>
          </w:r>
          <w:r>
            <w:tab/>
          </w:r>
          <w:r>
            <w:fldChar w:fldCharType="begin"/>
          </w:r>
          <w:r>
            <w:instrText xml:space="preserve"> PAGEREF _Toc23913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04FEFB5C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_Toc13014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11.1. </w:t>
          </w:r>
          <w:r>
            <w:t>阶段性验收（</w:t>
          </w:r>
          <w:r>
            <w:rPr>
              <w:rFonts w:hint="eastAsia"/>
              <w:lang w:val="en-US" w:eastAsia="zh-CN"/>
            </w:rPr>
            <w:t>半年度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_Toc13014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0548949B">
          <w:pPr>
            <w:pStyle w:val="19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_Toc17815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11.2. </w:t>
          </w:r>
          <w:r>
            <w:t>最终验收（年度）</w:t>
          </w:r>
          <w:r>
            <w:tab/>
          </w:r>
          <w:r>
            <w:fldChar w:fldCharType="begin"/>
          </w:r>
          <w:r>
            <w:instrText xml:space="preserve"> PAGEREF _Toc17815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298B948B">
          <w:pPr>
            <w:pStyle w:val="17"/>
            <w:tabs>
              <w:tab w:val="right" w:leader="dot" w:pos="8534"/>
            </w:tabs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begin"/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instrText xml:space="preserve"> HYPERLINK \l _Toc15722 </w:instrText>
          </w:r>
          <w:r>
            <w:rPr>
              <w:rFonts w:ascii="Arial" w:hAnsi="Arial" w:eastAsia="Arial" w:cs="Arial"/>
              <w:snapToGrid w:val="0"/>
              <w:kern w:val="0"/>
              <w:szCs w:val="21"/>
            </w:rPr>
            <w:fldChar w:fldCharType="separate"/>
          </w:r>
          <w:r>
            <w:rPr>
              <w:rFonts w:hint="default"/>
            </w:rPr>
            <w:t xml:space="preserve">12.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_Toc15722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  <w:p w14:paraId="67DDFB63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</w:pPr>
          <w:r>
            <w:rPr>
              <w:rFonts w:ascii="Arial" w:hAnsi="Arial" w:eastAsia="Arial" w:cs="Arial"/>
              <w:snapToGrid w:val="0"/>
              <w:color w:val="000000"/>
              <w:kern w:val="0"/>
              <w:szCs w:val="21"/>
            </w:rPr>
            <w:fldChar w:fldCharType="end"/>
          </w:r>
        </w:p>
      </w:sdtContent>
    </w:sdt>
    <w:p w14:paraId="25F94B26">
      <w:bookmarkStart w:id="2" w:name="heading_2"/>
      <w:r>
        <w:br w:type="page"/>
      </w:r>
    </w:p>
    <w:p w14:paraId="6B89F315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" w:name="_Toc7769"/>
      <w:r>
        <w:t>项目概述</w:t>
      </w:r>
      <w:bookmarkEnd w:id="2"/>
      <w:bookmarkEnd w:id="3"/>
    </w:p>
    <w:p w14:paraId="58D105E6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" w:name="heading_3"/>
      <w:bookmarkStart w:id="5" w:name="_Toc258"/>
      <w:r>
        <w:t>项目背景</w:t>
      </w:r>
      <w:bookmarkEnd w:id="4"/>
      <w:bookmarkEnd w:id="5"/>
    </w:p>
    <w:p w14:paraId="31854EF0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中国广电重庆网络股份有限公司（以下简称“甲方”）于2024年12月与重庆市鹧鸪哨信息技术有限责任公司（以下简称“乙方”）签订存储维保合同。为保障甲方托管设备的稳定运行，满足相关对数据安全性、硬件环境适配性、故障快速响应的严格要求，乙方依据合同约定，为本项目提供为期一年的存储维保服务，涵盖机房环境、电力保障、安防管控等基础设施支持。</w:t>
      </w:r>
    </w:p>
    <w:p w14:paraId="3768DBD0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" w:name="heading_4"/>
      <w:bookmarkStart w:id="7" w:name="_Toc7546"/>
      <w:r>
        <w:t>服务目标</w:t>
      </w:r>
      <w:bookmarkEnd w:id="6"/>
      <w:bookmarkEnd w:id="7"/>
    </w:p>
    <w:p w14:paraId="0974C675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本项目的核心服务目标包括：</w:t>
      </w:r>
    </w:p>
    <w:p w14:paraId="68B6B7B7">
      <w:pPr>
        <w:pStyle w:val="36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机房环境可用性不低于99.5%（不含计划内维护）；</w:t>
      </w:r>
    </w:p>
    <w:p w14:paraId="49C630A6">
      <w:pPr>
        <w:pStyle w:val="36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电力保障采用双路供电及不间断电源；</w:t>
      </w:r>
    </w:p>
    <w:p w14:paraId="39D291C6">
      <w:pPr>
        <w:pStyle w:val="36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硬件故障响应率100%，协助定位并协调厂商维修；</w:t>
      </w:r>
    </w:p>
    <w:p w14:paraId="30A34DB6">
      <w:pPr>
        <w:pStyle w:val="36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安防管控实现数据库审计与日志审计全覆盖；</w:t>
      </w:r>
    </w:p>
    <w:p w14:paraId="49856D5A">
      <w:pPr>
        <w:pStyle w:val="36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服务合规性符合ITSS核心要素要求；</w:t>
      </w:r>
    </w:p>
    <w:p w14:paraId="45EB7A79">
      <w:pPr>
        <w:pStyle w:val="36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</w:pPr>
      <w:r>
        <w:t>数据安全性符合《中华人民共和国网络安全法》及《数据安全相关规范》相关要求。</w:t>
      </w:r>
    </w:p>
    <w:p w14:paraId="4EEDAEEB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8" w:name="heading_5"/>
      <w:bookmarkStart w:id="9" w:name="_Toc3693"/>
      <w:r>
        <w:t>服务周期</w:t>
      </w:r>
      <w:bookmarkEnd w:id="8"/>
      <w:bookmarkEnd w:id="9"/>
    </w:p>
    <w:p w14:paraId="5BCA2F93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服务起始时间为2025年1月1日，服务结束时间为2025年12月31日，服务有效期为1年。</w:t>
      </w:r>
    </w:p>
    <w:p w14:paraId="4D64EB33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0" w:name="heading_6"/>
      <w:bookmarkStart w:id="11" w:name="_Toc28015"/>
      <w:r>
        <w:t>服务范围与边界</w:t>
      </w:r>
      <w:bookmarkEnd w:id="10"/>
      <w:bookmarkEnd w:id="11"/>
    </w:p>
    <w:p w14:paraId="6AED51C5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2" w:name="heading_7"/>
      <w:bookmarkStart w:id="13" w:name="_Toc27657"/>
      <w:r>
        <w:t>服务对象</w:t>
      </w:r>
      <w:bookmarkEnd w:id="12"/>
      <w:bookmarkEnd w:id="13"/>
    </w:p>
    <w:p w14:paraId="19401137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服务对象为甲方产权所有的托管设备，放置地址为</w:t>
      </w:r>
      <w:bookmarkStart w:id="71" w:name="_GoBack"/>
      <w:bookmarkEnd w:id="71"/>
      <w:r>
        <w:t>大数据中心。托管设备共计6台，包括：存储交换机2台（H3C S6520-24S-SI）、超融合节点3台（Lenovo SR660V2）、备份服务器1台（HP DL388 GEN9）。</w:t>
      </w:r>
    </w:p>
    <w:p w14:paraId="614B5C8A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4" w:name="heading_8"/>
      <w:bookmarkStart w:id="15" w:name="_Toc18891"/>
      <w:r>
        <w:t>服务内容</w:t>
      </w:r>
      <w:bookmarkEnd w:id="14"/>
      <w:bookmarkEnd w:id="15"/>
    </w:p>
    <w:p w14:paraId="662CFA2F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乙方提供的服务涵盖以下类别：</w:t>
      </w:r>
    </w:p>
    <w:p w14:paraId="339FC470">
      <w:pPr>
        <w:pStyle w:val="46"/>
        <w:numPr>
          <w:ilvl w:val="0"/>
          <w:numId w:val="3"/>
        </w:numPr>
        <w:bidi w:val="0"/>
        <w:ind w:left="425" w:leftChars="0" w:hanging="425" w:firstLineChars="0"/>
      </w:pPr>
      <w:r>
        <w:t>机房环境：提供标准机房环境，包括空调、照明、恒温恒湿等。</w:t>
      </w:r>
    </w:p>
    <w:p w14:paraId="1DF6BB7E">
      <w:pPr>
        <w:pStyle w:val="46"/>
        <w:numPr>
          <w:ilvl w:val="0"/>
          <w:numId w:val="3"/>
        </w:numPr>
        <w:bidi w:val="0"/>
        <w:ind w:left="425" w:leftChars="0" w:hanging="425" w:firstLineChars="0"/>
      </w:pPr>
      <w:r>
        <w:t>电力保障：提供双路供电，每机架32A，配备不间断电源保障。</w:t>
      </w:r>
    </w:p>
    <w:p w14:paraId="42F45DFA">
      <w:pPr>
        <w:pStyle w:val="46"/>
        <w:numPr>
          <w:ilvl w:val="0"/>
          <w:numId w:val="3"/>
        </w:numPr>
        <w:bidi w:val="0"/>
        <w:ind w:left="425" w:leftChars="0" w:hanging="425" w:firstLineChars="0"/>
      </w:pPr>
      <w:r>
        <w:t>网络接入：提供政务云数据中心网络接入。</w:t>
      </w:r>
    </w:p>
    <w:p w14:paraId="2327CCCF">
      <w:pPr>
        <w:pStyle w:val="46"/>
        <w:numPr>
          <w:ilvl w:val="0"/>
          <w:numId w:val="3"/>
        </w:numPr>
        <w:bidi w:val="0"/>
        <w:ind w:left="425" w:leftChars="0" w:hanging="425" w:firstLineChars="0"/>
      </w:pPr>
      <w:r>
        <w:t>安防管控：对托管服务器实施数据库审计和日志审计，进行集中收集、保护与审计。</w:t>
      </w:r>
    </w:p>
    <w:p w14:paraId="3DBDCB42">
      <w:pPr>
        <w:pStyle w:val="46"/>
        <w:numPr>
          <w:ilvl w:val="0"/>
          <w:numId w:val="3"/>
        </w:numPr>
        <w:bidi w:val="0"/>
        <w:ind w:left="425" w:leftChars="0" w:hanging="425" w:firstLineChars="0"/>
      </w:pPr>
      <w:r>
        <w:t>硬件监控：对服务器运行状态进行监控，包括CPU、内存、磁盘、温度等指标。</w:t>
      </w:r>
    </w:p>
    <w:p w14:paraId="5ADADDF0">
      <w:pPr>
        <w:pStyle w:val="46"/>
        <w:numPr>
          <w:ilvl w:val="0"/>
          <w:numId w:val="3"/>
        </w:numPr>
        <w:bidi w:val="0"/>
        <w:ind w:left="425" w:leftChars="0" w:hanging="425" w:firstLineChars="0"/>
      </w:pPr>
      <w:r>
        <w:t>故障处理：对硬件故障进行初步诊断，并协助联系原厂维修。</w:t>
      </w:r>
    </w:p>
    <w:p w14:paraId="7FE65F59">
      <w:pPr>
        <w:pStyle w:val="46"/>
        <w:numPr>
          <w:ilvl w:val="0"/>
          <w:numId w:val="3"/>
        </w:numPr>
        <w:bidi w:val="0"/>
        <w:ind w:left="425" w:leftChars="0" w:hanging="425" w:firstLineChars="0"/>
      </w:pPr>
      <w:r>
        <w:t>现场支持：提供设备上下架及现场配合服务。</w:t>
      </w:r>
    </w:p>
    <w:p w14:paraId="5B4D13B6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6" w:name="heading_9"/>
      <w:bookmarkStart w:id="17" w:name="_Toc24198"/>
      <w:r>
        <w:t>服务边界</w:t>
      </w:r>
      <w:bookmarkEnd w:id="16"/>
      <w:bookmarkEnd w:id="17"/>
    </w:p>
    <w:p w14:paraId="02A60368">
      <w:pPr>
        <w:pStyle w:val="38"/>
        <w:bidi w:val="0"/>
      </w:pPr>
      <w:bookmarkStart w:id="18" w:name="_Toc9788"/>
      <w:r>
        <w:t>服务范围包括</w:t>
      </w:r>
      <w:bookmarkEnd w:id="18"/>
    </w:p>
    <w:p w14:paraId="398312AA">
      <w:pPr>
        <w:pStyle w:val="36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提供放置甲方所托管设备的标准机房环境（空调、照明、恒温恒湿）；</w:t>
      </w:r>
    </w:p>
    <w:p w14:paraId="31117013">
      <w:pPr>
        <w:pStyle w:val="36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双路供电保障，每机架32A，不间断电源；</w:t>
      </w:r>
    </w:p>
    <w:p w14:paraId="692CAB30">
      <w:pPr>
        <w:pStyle w:val="36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机房环境的运行维护与故障排除；</w:t>
      </w:r>
    </w:p>
    <w:p w14:paraId="78024B6D">
      <w:pPr>
        <w:pStyle w:val="36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服务器硬件状态监控与故障初步诊断；</w:t>
      </w:r>
    </w:p>
    <w:p w14:paraId="110850D4">
      <w:pPr>
        <w:pStyle w:val="36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协助联系原厂维修及硬件更换配合；</w:t>
      </w:r>
    </w:p>
    <w:p w14:paraId="2CE9101E">
      <w:pPr>
        <w:pStyle w:val="36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数据库审计、日志审计的集中收集、保护与审计；</w:t>
      </w:r>
    </w:p>
    <w:p w14:paraId="4F53E20B">
      <w:pPr>
        <w:pStyle w:val="36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</w:pPr>
      <w:r>
        <w:t>设备上下架现场配合。</w:t>
      </w:r>
    </w:p>
    <w:p w14:paraId="1241DA8D">
      <w:pPr>
        <w:pStyle w:val="38"/>
        <w:bidi w:val="0"/>
      </w:pPr>
      <w:bookmarkStart w:id="19" w:name="_Toc19863"/>
      <w:r>
        <w:t>服务范围不包括</w:t>
      </w:r>
      <w:bookmarkEnd w:id="19"/>
    </w:p>
    <w:p w14:paraId="3031905B">
      <w:pPr>
        <w:pStyle w:val="36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甲方所托管软硬件设备的安装、操作、日常维护、数据备份、系统升级（由甲方自行负责）；</w:t>
      </w:r>
    </w:p>
    <w:p w14:paraId="167A6D09">
      <w:pPr>
        <w:pStyle w:val="36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第三方商业软件的故障处理；</w:t>
      </w:r>
    </w:p>
    <w:p w14:paraId="413B9BE0">
      <w:pPr>
        <w:pStyle w:val="36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网络基础设施（路由器、交换机、防火墙）的深度运维；</w:t>
      </w:r>
    </w:p>
    <w:p w14:paraId="7B7C525D">
      <w:pPr>
        <w:pStyle w:val="36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硬件设备的备件采购费用（不含在服务费内）；</w:t>
      </w:r>
    </w:p>
    <w:p w14:paraId="4598F8CF">
      <w:pPr>
        <w:pStyle w:val="36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因甲方人员误操作、病毒攻击、不可抗力等因素导致的设备问题；</w:t>
      </w:r>
    </w:p>
    <w:p w14:paraId="41F6E540">
      <w:pPr>
        <w:pStyle w:val="36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甲方自行开发的软件或系统接口问题。</w:t>
      </w:r>
    </w:p>
    <w:p w14:paraId="7B1754DF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0" w:name="heading_10"/>
      <w:bookmarkStart w:id="21" w:name="_Toc27518"/>
      <w:r>
        <w:t>服务模式与流程</w:t>
      </w:r>
      <w:bookmarkEnd w:id="20"/>
      <w:bookmarkEnd w:id="21"/>
    </w:p>
    <w:p w14:paraId="281BCC9F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2" w:name="heading_11"/>
      <w:bookmarkStart w:id="23" w:name="_Toc26513"/>
      <w:r>
        <w:t>服务模式</w:t>
      </w:r>
      <w:bookmarkEnd w:id="22"/>
      <w:bookmarkEnd w:id="23"/>
    </w:p>
    <w:p w14:paraId="023A4220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本项目采用远程监控、远程运维与现场运维相结合的服务模式。</w:t>
      </w:r>
    </w:p>
    <w:p w14:paraId="55C94348">
      <w:pPr>
        <w:pStyle w:val="46"/>
        <w:numPr>
          <w:ilvl w:val="0"/>
          <w:numId w:val="6"/>
        </w:numPr>
        <w:bidi w:val="0"/>
        <w:ind w:left="425" w:leftChars="0" w:hanging="425" w:firstLineChars="0"/>
      </w:pPr>
      <w:r>
        <w:t>远程监控：适用于日常机房环境监控、设备状态监控，采用7×24小时自动监控，异常时自动告警。</w:t>
      </w:r>
    </w:p>
    <w:p w14:paraId="39FEF464">
      <w:pPr>
        <w:pStyle w:val="46"/>
        <w:numPr>
          <w:ilvl w:val="0"/>
          <w:numId w:val="6"/>
        </w:numPr>
        <w:bidi w:val="0"/>
        <w:ind w:left="425" w:leftChars="0" w:hanging="425" w:firstLineChars="0"/>
      </w:pPr>
      <w:r>
        <w:t>远程运维：适用于咨询、非紧急故障、安防审计检查等场景，甲方通过电话或微信发起请求，工程师在15分钟内响应。</w:t>
      </w:r>
    </w:p>
    <w:p w14:paraId="2A978AE5">
      <w:pPr>
        <w:pStyle w:val="46"/>
        <w:numPr>
          <w:ilvl w:val="0"/>
          <w:numId w:val="6"/>
        </w:numPr>
        <w:bidi w:val="0"/>
        <w:ind w:left="425" w:leftChars="0" w:hanging="425" w:firstLineChars="0"/>
      </w:pPr>
      <w:r>
        <w:t>现场运维：适用于设备上下架、硬件故障现场确认、紧急处理等场景，需提前预约，乙方在24小时内到达现场。</w:t>
      </w:r>
    </w:p>
    <w:p w14:paraId="7B8AFF85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4" w:name="heading_12"/>
      <w:bookmarkStart w:id="25" w:name="_Toc31990"/>
      <w:r>
        <w:t>服务流程</w:t>
      </w:r>
      <w:bookmarkEnd w:id="24"/>
      <w:bookmarkEnd w:id="25"/>
    </w:p>
    <w:p w14:paraId="0A5E30DC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本项目的服务交付流程严格遵循公司《运维服务交付规范》（ZGS-09-01）执行，包括需求分析与立项、交付策划、交付实施、交付检查、交付改进五个阶段。</w:t>
      </w:r>
    </w:p>
    <w:p w14:paraId="79E8875C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6" w:name="heading_13"/>
      <w:bookmarkStart w:id="27" w:name="_Toc16156"/>
      <w:r>
        <w:t>服务等级协议（SLA）</w:t>
      </w:r>
      <w:bookmarkEnd w:id="26"/>
      <w:bookmarkEnd w:id="27"/>
    </w:p>
    <w:p w14:paraId="2EBE0CE6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8" w:name="heading_14"/>
      <w:bookmarkStart w:id="29" w:name="_Toc21530"/>
      <w:r>
        <w:t>故障分级与响应标准</w:t>
      </w:r>
      <w:bookmarkEnd w:id="28"/>
      <w:bookmarkEnd w:id="29"/>
    </w:p>
    <w:tbl>
      <w:tblPr>
        <w:tblStyle w:val="22"/>
        <w:tblW w:w="87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2666"/>
        <w:gridCol w:w="1757"/>
        <w:gridCol w:w="2301"/>
        <w:gridCol w:w="1052"/>
      </w:tblGrid>
      <w:tr w14:paraId="2C2E6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4E23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故障等级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E01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定义</w:t>
            </w:r>
          </w:p>
        </w:tc>
        <w:tc>
          <w:tcPr>
            <w:tcW w:w="17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C36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响应时间</w:t>
            </w:r>
          </w:p>
        </w:tc>
        <w:tc>
          <w:tcPr>
            <w:tcW w:w="23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724E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解决时间</w:t>
            </w:r>
          </w:p>
        </w:tc>
        <w:tc>
          <w:tcPr>
            <w:tcW w:w="10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85F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通报机制</w:t>
            </w:r>
          </w:p>
        </w:tc>
      </w:tr>
      <w:tr w14:paraId="754C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6AD4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P1（严重故障）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4EE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机房环境异常（空调/电力故障）或核心硬件宕机，影响业务运行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B34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15分钟内电话响应，4小时内到达现场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21B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电力/空调故障≤2小时；硬件故障≤48小时（含报修）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0D7E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每30分钟通报进度</w:t>
            </w:r>
          </w:p>
        </w:tc>
      </w:tr>
      <w:tr w14:paraId="73702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63B7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P2（一般故障）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080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硬件告警或安防审计异常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9C8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30分钟内响应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175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≤5个工作日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C965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每日通报进度</w:t>
            </w:r>
          </w:p>
        </w:tc>
      </w:tr>
      <w:tr w14:paraId="0F1FD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983E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P3（咨询/协助）</w:t>
            </w:r>
          </w:p>
        </w:tc>
        <w:tc>
          <w:tcPr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3A9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设备上下架咨询、硬件状态查询等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AEE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2小时内响应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470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≤2个工作日</w:t>
            </w:r>
          </w:p>
        </w:tc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414A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根据甲方需求通报</w:t>
            </w:r>
          </w:p>
        </w:tc>
      </w:tr>
    </w:tbl>
    <w:p w14:paraId="2C42C0D4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0" w:name="heading_15"/>
      <w:bookmarkStart w:id="31" w:name="_Toc7043"/>
      <w:r>
        <w:t>关键指标承诺</w:t>
      </w:r>
      <w:bookmarkEnd w:id="30"/>
      <w:bookmarkEnd w:id="31"/>
    </w:p>
    <w:p w14:paraId="575878A2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乙方承诺以下关键指标：</w:t>
      </w:r>
    </w:p>
    <w:p w14:paraId="19B48F82">
      <w:pPr>
        <w:pStyle w:val="36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left="425" w:leftChars="0" w:hanging="425" w:firstLineChars="0"/>
      </w:pPr>
      <w:r>
        <w:t>机房环境可用性不低于99.5%，按月统计；</w:t>
      </w:r>
    </w:p>
    <w:p w14:paraId="4AFAF223">
      <w:pPr>
        <w:pStyle w:val="36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left="425" w:leftChars="0" w:hanging="425" w:firstLineChars="0"/>
      </w:pPr>
      <w:r>
        <w:t>电力可用性达到100%，依托双路供电及不间断电源保障；</w:t>
      </w:r>
    </w:p>
    <w:p w14:paraId="4A5DF1D0">
      <w:pPr>
        <w:pStyle w:val="36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topLinePunct w:val="0"/>
        <w:bidi w:val="0"/>
        <w:ind w:left="425" w:leftChars="0" w:hanging="425" w:firstLineChars="0"/>
      </w:pPr>
      <w:r>
        <w:t>硬件故障响应率100%。</w:t>
      </w:r>
    </w:p>
    <w:p w14:paraId="0DCB0B6B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2" w:name="heading_16"/>
      <w:bookmarkStart w:id="33" w:name="_Toc10249"/>
      <w:r>
        <w:t>角色与职责</w:t>
      </w:r>
      <w:bookmarkEnd w:id="32"/>
      <w:bookmarkEnd w:id="33"/>
    </w:p>
    <w:p w14:paraId="185E1717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本项目运维团队由以下角色构成：</w:t>
      </w:r>
    </w:p>
    <w:tbl>
      <w:tblPr>
        <w:tblStyle w:val="22"/>
        <w:tblW w:w="87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1168"/>
        <w:gridCol w:w="5944"/>
      </w:tblGrid>
      <w:tr w14:paraId="690B6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9EEC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8951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人数</w:t>
            </w:r>
          </w:p>
        </w:tc>
        <w:tc>
          <w:tcPr>
            <w:tcW w:w="59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AE9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 w14:paraId="5E3B7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2758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运维项目部长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0A7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人</w:t>
            </w:r>
          </w:p>
        </w:tc>
        <w:tc>
          <w:tcPr>
            <w:tcW w:w="59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9DAB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负责项目整体策划、资源协调、客户沟通及服务改进牵头</w:t>
            </w:r>
          </w:p>
        </w:tc>
      </w:tr>
      <w:tr w14:paraId="6F37C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CE79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F74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59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7E2F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负责硬件状态监控、故障初步诊断、协助报修、现场配合</w:t>
            </w:r>
          </w:p>
        </w:tc>
      </w:tr>
      <w:tr w14:paraId="6B428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8EB1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DA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59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3D21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负责机房环境巡检、安防审计检查、过程记录</w:t>
            </w:r>
          </w:p>
        </w:tc>
      </w:tr>
      <w:tr w14:paraId="1D1C0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4DDF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运维部部长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6B0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59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BFB5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负责服务过程监督、资源保障及改进方案审批</w:t>
            </w:r>
          </w:p>
        </w:tc>
      </w:tr>
      <w:tr w14:paraId="27EAB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71BB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C4B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59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7C79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负责SLA指标审核、合规性检查及改进跟踪</w:t>
            </w:r>
          </w:p>
        </w:tc>
      </w:tr>
    </w:tbl>
    <w:p w14:paraId="55C26FC0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4" w:name="heading_17"/>
      <w:bookmarkStart w:id="35" w:name="_Toc14434"/>
      <w:r>
        <w:t>交付物清单</w:t>
      </w:r>
      <w:bookmarkEnd w:id="34"/>
      <w:bookmarkEnd w:id="35"/>
    </w:p>
    <w:p w14:paraId="2E2E8C13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本项目交付物按交付阶段划分如下：</w:t>
      </w:r>
    </w:p>
    <w:p w14:paraId="2FDC22EE">
      <w:pPr>
        <w:pStyle w:val="37"/>
        <w:bidi w:val="0"/>
      </w:pPr>
      <w:bookmarkStart w:id="36" w:name="_Toc2823"/>
      <w:r>
        <w:t>启动阶段</w:t>
      </w:r>
      <w:bookmarkEnd w:id="36"/>
    </w:p>
    <w:p w14:paraId="4A844F69">
      <w:pPr>
        <w:pStyle w:val="36"/>
        <w:bidi w:val="0"/>
      </w:pPr>
      <w:r>
        <w:t>提交《运维服务需求清单》、《运维服务可行性分析报告》、《运维服务交付方案》（本文件），其中需求清单和交付方案需经甲方签字确认，可行性分析报告内部存档。</w:t>
      </w:r>
    </w:p>
    <w:p w14:paraId="5012B881">
      <w:pPr>
        <w:pStyle w:val="37"/>
        <w:bidi w:val="0"/>
      </w:pPr>
      <w:bookmarkStart w:id="37" w:name="_Toc22455"/>
      <w:r>
        <w:t>策划阶段</w:t>
      </w:r>
      <w:bookmarkEnd w:id="37"/>
    </w:p>
    <w:p w14:paraId="0D51C659">
      <w:pPr>
        <w:pStyle w:val="36"/>
        <w:bidi w:val="0"/>
      </w:pPr>
      <w:r>
        <w:t>提交《运维服务计划》，于项目启动后1周内完成，需经甲方签字确认。</w:t>
      </w:r>
    </w:p>
    <w:p w14:paraId="4E43F147">
      <w:pPr>
        <w:pStyle w:val="37"/>
        <w:bidi w:val="0"/>
      </w:pPr>
      <w:bookmarkStart w:id="38" w:name="_Toc29882"/>
      <w:r>
        <w:t>实施阶段</w:t>
      </w:r>
      <w:bookmarkEnd w:id="38"/>
    </w:p>
    <w:p w14:paraId="5C67108A">
      <w:pPr>
        <w:pStyle w:val="36"/>
        <w:bidi w:val="0"/>
      </w:pPr>
      <w:r>
        <w:t>每次服务后提交《运维服务过程记录单》（工单系统导出）、《远程运维服务确认单》（邮件确认）、《现场运维服务单》（甲方签字确认），每次硬件故障后提交《硬件故障处理记录单》（甲方确认）。</w:t>
      </w:r>
    </w:p>
    <w:p w14:paraId="67016278">
      <w:pPr>
        <w:pStyle w:val="37"/>
        <w:bidi w:val="0"/>
      </w:pPr>
      <w:bookmarkStart w:id="39" w:name="_Toc25005"/>
      <w:r>
        <w:t>检查阶段</w:t>
      </w:r>
      <w:bookmarkEnd w:id="39"/>
    </w:p>
    <w:p w14:paraId="41E20F89">
      <w:pPr>
        <w:pStyle w:val="36"/>
        <w:bidi w:val="0"/>
      </w:pPr>
      <w:r>
        <w:t>每月5日前提交《运维服务质量月报》（内部审核），每季度末及项目结束时提交《运维服务验收报告》（甲方签字确认），每季度提交《合规性检查报告》（内部存档）。</w:t>
      </w:r>
    </w:p>
    <w:p w14:paraId="7EB118BD">
      <w:pPr>
        <w:pStyle w:val="37"/>
        <w:bidi w:val="0"/>
      </w:pPr>
      <w:bookmarkStart w:id="40" w:name="_Toc10065"/>
      <w:r>
        <w:t>改进阶段</w:t>
      </w:r>
      <w:bookmarkEnd w:id="40"/>
    </w:p>
    <w:p w14:paraId="7C0D0B5F">
      <w:pPr>
        <w:pStyle w:val="36"/>
        <w:bidi w:val="0"/>
      </w:pPr>
      <w:r>
        <w:t>项目结束后5日内提交《服务改进报告》，项目结束时提交《运维服务年度总结报告》，均需经甲方签字确认。</w:t>
      </w:r>
    </w:p>
    <w:p w14:paraId="261848F7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1" w:name="heading_18"/>
      <w:bookmarkStart w:id="42" w:name="_Toc26523"/>
      <w:r>
        <w:t>质量管控机制</w:t>
      </w:r>
      <w:bookmarkEnd w:id="41"/>
      <w:bookmarkEnd w:id="42"/>
    </w:p>
    <w:p w14:paraId="6F16BD0D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3" w:name="heading_19"/>
      <w:bookmarkStart w:id="44" w:name="_Toc3850"/>
      <w:r>
        <w:t>SLA监控</w:t>
      </w:r>
      <w:bookmarkEnd w:id="43"/>
      <w:bookmarkEnd w:id="44"/>
    </w:p>
    <w:p w14:paraId="64EF681E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运维部每月统计SLA指标达成情况，编制《运维服务质量月报》。质量部每季度审核SLA指标，对未达标项要求整改。连续两个月SLA未达标，将启动专项改进流程。</w:t>
      </w:r>
    </w:p>
    <w:p w14:paraId="2E614951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5" w:name="heading_20"/>
      <w:bookmarkStart w:id="46" w:name="_Toc19462"/>
      <w:r>
        <w:t>客户满意度调查</w:t>
      </w:r>
      <w:bookmarkEnd w:id="45"/>
      <w:bookmarkEnd w:id="46"/>
    </w:p>
    <w:p w14:paraId="0B5327B6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客户满意度调查采用问卷或电话回访方式，每季度开展1次，项目结束后另开展1次。调查结果纳入运维团队绩效考核，低于</w:t>
      </w:r>
      <w:r>
        <w:rPr>
          <w:rFonts w:hint="eastAsia"/>
          <w:lang w:val="en-US" w:eastAsia="zh-CN"/>
        </w:rPr>
        <w:t>90%</w:t>
      </w:r>
      <w:r>
        <w:t>需进行复盘改进。</w:t>
      </w:r>
    </w:p>
    <w:p w14:paraId="7037C8C7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7" w:name="heading_21"/>
      <w:bookmarkStart w:id="48" w:name="_Toc30377"/>
      <w:r>
        <w:t>合规性检查</w:t>
      </w:r>
      <w:bookmarkEnd w:id="47"/>
      <w:bookmarkEnd w:id="48"/>
    </w:p>
    <w:p w14:paraId="04274B2F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乙方严格遵守《网络安全法》及《数据安全相关规范》，所有运维操作需记录日志并保留不少于6个月。质量部每季度进行合规性抽查，重点检查数据库审计、日志审计运行状态，形成《合规性检查报告》。</w:t>
      </w:r>
    </w:p>
    <w:p w14:paraId="7F0B667D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9" w:name="heading_22"/>
      <w:bookmarkStart w:id="50" w:name="_Toc8106"/>
      <w:r>
        <w:rPr>
          <w:rFonts w:hint="eastAsia"/>
          <w:lang w:val="en-US" w:eastAsia="zh-CN"/>
        </w:rPr>
        <w:t>服务知识</w:t>
      </w:r>
      <w:r>
        <w:t>管理</w:t>
      </w:r>
      <w:bookmarkEnd w:id="49"/>
      <w:bookmarkEnd w:id="50"/>
    </w:p>
    <w:p w14:paraId="19D06F56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运维部每</w:t>
      </w:r>
      <w:r>
        <w:rPr>
          <w:rFonts w:hint="eastAsia"/>
          <w:lang w:val="en-US" w:eastAsia="zh-CN"/>
        </w:rPr>
        <w:t>季度</w:t>
      </w:r>
      <w:r>
        <w:t>更新</w:t>
      </w:r>
      <w:r>
        <w:rPr>
          <w:rFonts w:hint="eastAsia"/>
          <w:lang w:val="en-US" w:eastAsia="zh-CN"/>
        </w:rPr>
        <w:t>服务知识</w:t>
      </w:r>
      <w:r>
        <w:t>，补充硬件常见问题排查手册及机房环境故障处理预案，并向甲方开放查询权限。</w:t>
      </w:r>
    </w:p>
    <w:p w14:paraId="08138B4F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1" w:name="heading_23"/>
      <w:bookmarkStart w:id="52" w:name="_Toc221"/>
      <w:r>
        <w:t>应急响应机制</w:t>
      </w:r>
      <w:bookmarkEnd w:id="51"/>
      <w:bookmarkEnd w:id="52"/>
    </w:p>
    <w:p w14:paraId="0C3FA686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3" w:name="heading_24"/>
      <w:bookmarkStart w:id="54" w:name="_Toc980"/>
      <w:r>
        <w:t>应急触发条件</w:t>
      </w:r>
      <w:bookmarkEnd w:id="53"/>
      <w:bookmarkEnd w:id="54"/>
    </w:p>
    <w:p w14:paraId="34502BF5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应急响应机制在以下情况下触发：</w:t>
      </w:r>
    </w:p>
    <w:p w14:paraId="65DAC110">
      <w:pPr>
        <w:pStyle w:val="36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机房环境异常（空调故障、电力中断）；</w:t>
      </w:r>
    </w:p>
    <w:p w14:paraId="52CBF0B6">
      <w:pPr>
        <w:pStyle w:val="36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核心硬件（服务器/存储）宕机；</w:t>
      </w:r>
    </w:p>
    <w:p w14:paraId="238AB3B1">
      <w:pPr>
        <w:pStyle w:val="36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topLinePunct w:val="0"/>
        <w:bidi w:val="0"/>
        <w:ind w:left="425" w:leftChars="0" w:hanging="425" w:firstLineChars="0"/>
      </w:pPr>
      <w:r>
        <w:t>安防审计异常（数据库审计、日志审计失效）；安全漏洞或攻击事件。</w:t>
      </w:r>
    </w:p>
    <w:p w14:paraId="7E62C593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5" w:name="heading_25"/>
      <w:bookmarkStart w:id="56" w:name="_Toc5549"/>
      <w:r>
        <w:t>应急流程</w:t>
      </w:r>
      <w:bookmarkEnd w:id="55"/>
      <w:bookmarkEnd w:id="56"/>
    </w:p>
    <w:p w14:paraId="05C792EE">
      <w:pPr>
        <w:pStyle w:val="36"/>
        <w:rPr>
          <w:rFonts w:hint="eastAsia"/>
        </w:rPr>
      </w:pPr>
      <w:r>
        <w:rPr>
          <w:rFonts w:hint="eastAsia"/>
        </w:rPr>
        <w:t>当突发故障发生时，我们将按照以下步骤有序应对：</w:t>
      </w:r>
    </w:p>
    <w:p w14:paraId="398A2667">
      <w:pPr>
        <w:pStyle w:val="36"/>
        <w:rPr>
          <w:rFonts w:hint="eastAsia"/>
        </w:rPr>
      </w:pPr>
      <w:r>
        <w:rPr>
          <w:rFonts w:hint="eastAsia"/>
        </w:rPr>
        <w:t>发现与通报：监控系统会自动发现异常，或由客户第一时间反馈给我们。接到信息后，我们会立即通报运维项目部长，确保问题不遗漏。</w:t>
      </w:r>
    </w:p>
    <w:p w14:paraId="7AA8972C">
      <w:pPr>
        <w:pStyle w:val="36"/>
        <w:rPr>
          <w:rFonts w:hint="eastAsia"/>
        </w:rPr>
      </w:pPr>
      <w:r>
        <w:rPr>
          <w:rFonts w:hint="eastAsia"/>
        </w:rPr>
        <w:t>启动应急：运维项目部长在15分钟内启动应急响应，迅速组建应急小组，明确分工，快速进入处理状态。</w:t>
      </w:r>
    </w:p>
    <w:p w14:paraId="224C5564">
      <w:pPr>
        <w:pStyle w:val="36"/>
        <w:rPr>
          <w:rFonts w:hint="eastAsia"/>
        </w:rPr>
      </w:pPr>
      <w:r>
        <w:rPr>
          <w:rFonts w:hint="eastAsia"/>
        </w:rPr>
        <w:t>故障排查：运维工程师通过远程或现场方式展开排查，每30分钟向客户同步一次处理进展，让客户随时了解最新情况。</w:t>
      </w:r>
    </w:p>
    <w:p w14:paraId="5964128E">
      <w:pPr>
        <w:pStyle w:val="36"/>
        <w:rPr>
          <w:rFonts w:hint="eastAsia"/>
        </w:rPr>
      </w:pPr>
      <w:r>
        <w:rPr>
          <w:rFonts w:hint="eastAsia"/>
        </w:rPr>
        <w:t>恢复与验证：故障处理完成后，我们会恢复机房环境或协助恢复系统运行，并进行验证测试，确保服务恢复正常。</w:t>
      </w:r>
    </w:p>
    <w:p w14:paraId="7006B85D">
      <w:pPr>
        <w:pStyle w:val="36"/>
      </w:pPr>
      <w:r>
        <w:rPr>
          <w:rFonts w:hint="eastAsia"/>
        </w:rPr>
        <w:t>复盘与改进：故障解决后3日内，我们会提交《应急事件复盘报告》，总结经验、查找不足，并制定改进措施，避免同类问题再次发生。</w:t>
      </w:r>
    </w:p>
    <w:p w14:paraId="4CE6A8EC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7" w:name="heading_26"/>
      <w:bookmarkStart w:id="58" w:name="_Toc9370"/>
      <w:r>
        <w:t>灾备目标</w:t>
      </w:r>
      <w:bookmarkEnd w:id="57"/>
      <w:bookmarkEnd w:id="58"/>
    </w:p>
    <w:p w14:paraId="24627A41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灾备目标为：RTO（恢复时间目标）方面，机房环境不超过2小时，硬件不超过48小时（含报修）；RPO（恢复点目标）由甲方自行负责数据备份。</w:t>
      </w:r>
    </w:p>
    <w:p w14:paraId="6137E952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9" w:name="heading_27"/>
      <w:bookmarkStart w:id="60" w:name="_Toc11355"/>
      <w:r>
        <w:t>沟通机制</w:t>
      </w:r>
      <w:bookmarkEnd w:id="59"/>
      <w:bookmarkEnd w:id="60"/>
    </w:p>
    <w:p w14:paraId="74FE0DF7">
      <w:pPr>
        <w:pStyle w:val="36"/>
        <w:rPr>
          <w:rFonts w:hint="eastAsia"/>
        </w:rPr>
      </w:pPr>
      <w:r>
        <w:rPr>
          <w:rFonts w:hint="eastAsia"/>
        </w:rPr>
        <w:t>为确保项目信息畅通、响应及时，我们建立了多层次、常态化的沟通机制：</w:t>
      </w:r>
    </w:p>
    <w:p w14:paraId="1208D22C">
      <w:pPr>
        <w:pStyle w:val="36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项目启动会：项目开始时召开，双方项目团队共同参与，主要目的是明确服务目标、确认交付方案、建立双方联络机制。</w:t>
      </w:r>
    </w:p>
    <w:p w14:paraId="5442A2DE">
      <w:pPr>
        <w:pStyle w:val="36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月度服务报告会：每月召开一次，由运维项目部长与甲方对接人参加，重点通报上月SLA达成情况、分析存在的问题、介绍下月工作计划。</w:t>
      </w:r>
    </w:p>
    <w:p w14:paraId="11ADA1C1">
      <w:pPr>
        <w:pStyle w:val="36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季度复盘会：每季度召开一次，双方项目负责人共同参与，系统总结季度服务情况、讨论改进方向、协调重点事项。</w:t>
      </w:r>
    </w:p>
    <w:p w14:paraId="41AD05D6">
      <w:pPr>
        <w:pStyle w:val="36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年度总结会：项目结束时召开，双方管理层出席，汇报年度服务成果、确认项目验收、沟通续签意向。</w:t>
      </w:r>
    </w:p>
    <w:p w14:paraId="55C06899">
      <w:pPr>
        <w:pStyle w:val="36"/>
        <w:numPr>
          <w:ilvl w:val="0"/>
          <w:numId w:val="9"/>
        </w:numPr>
        <w:ind w:left="425" w:leftChars="0" w:hanging="425" w:firstLineChars="0"/>
      </w:pPr>
      <w:r>
        <w:rPr>
          <w:rFonts w:hint="eastAsia"/>
        </w:rPr>
        <w:t>日常沟通：通过电话或微信实时响应，确保日常咨询、故障报修等需求能够第一时间得到处理。</w:t>
      </w:r>
    </w:p>
    <w:p w14:paraId="58C6A842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1" w:name="heading_28"/>
      <w:bookmarkStart w:id="62" w:name="_Toc12716"/>
      <w:r>
        <w:t>风险与应对措施</w:t>
      </w:r>
      <w:bookmarkEnd w:id="61"/>
      <w:bookmarkEnd w:id="62"/>
    </w:p>
    <w:p w14:paraId="4646C73F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本项目面临的主要风险及应对措施如下：</w:t>
      </w:r>
    </w:p>
    <w:p w14:paraId="5E5462CC">
      <w:pPr>
        <w:pStyle w:val="46"/>
        <w:numPr>
          <w:ilvl w:val="0"/>
          <w:numId w:val="10"/>
        </w:numPr>
        <w:bidi w:val="0"/>
      </w:pPr>
      <w:r>
        <w:t>环境风险：机房空调故障可能影响设备运行。应对措施为双空调冗余、定期维护及应急降温预案。</w:t>
      </w:r>
    </w:p>
    <w:p w14:paraId="4E13E359">
      <w:pPr>
        <w:pStyle w:val="46"/>
        <w:numPr>
          <w:ilvl w:val="0"/>
          <w:numId w:val="10"/>
        </w:numPr>
        <w:bidi w:val="0"/>
      </w:pPr>
      <w:r>
        <w:t>电力风险：市电中断可能导致服务中断。应对措施为双路供电、UPS及柴油发电机保障。</w:t>
      </w:r>
    </w:p>
    <w:p w14:paraId="43AA4BBB">
      <w:pPr>
        <w:pStyle w:val="46"/>
        <w:numPr>
          <w:ilvl w:val="0"/>
          <w:numId w:val="10"/>
        </w:numPr>
        <w:bidi w:val="0"/>
      </w:pPr>
      <w:r>
        <w:t>硬件风险：服务器硬件故障发生率中等，影响程度高。应对措施为协助报修、提供临时环境建议。</w:t>
      </w:r>
    </w:p>
    <w:p w14:paraId="7FB4171D">
      <w:pPr>
        <w:pStyle w:val="46"/>
        <w:numPr>
          <w:ilvl w:val="0"/>
          <w:numId w:val="10"/>
        </w:numPr>
        <w:bidi w:val="0"/>
      </w:pPr>
      <w:r>
        <w:t>人员风险：关键运维人员离职可能影响服务连续性。应对措施为实行AB角备份，确保岗位不缺失。</w:t>
      </w:r>
    </w:p>
    <w:p w14:paraId="20FA538B">
      <w:pPr>
        <w:pStyle w:val="46"/>
        <w:numPr>
          <w:ilvl w:val="0"/>
          <w:numId w:val="10"/>
        </w:numPr>
        <w:bidi w:val="0"/>
      </w:pPr>
      <w:r>
        <w:t>安全风险：数据泄露风险虽低但影响严重。应对措施为数据库审计、日志审计全覆盖。</w:t>
      </w:r>
    </w:p>
    <w:p w14:paraId="38A4F97F">
      <w:pPr>
        <w:pStyle w:val="46"/>
        <w:numPr>
          <w:ilvl w:val="0"/>
          <w:numId w:val="10"/>
        </w:numPr>
        <w:bidi w:val="0"/>
      </w:pPr>
      <w:r>
        <w:t>外部风险：病毒攻击或不可抗力事件。应对措施为灾备机制及应急预案。</w:t>
      </w:r>
    </w:p>
    <w:p w14:paraId="7C5CA042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3" w:name="heading_29"/>
      <w:bookmarkStart w:id="64" w:name="_Toc23913"/>
      <w:r>
        <w:t>验收标准</w:t>
      </w:r>
      <w:bookmarkEnd w:id="63"/>
      <w:bookmarkEnd w:id="64"/>
    </w:p>
    <w:p w14:paraId="413DA925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5" w:name="heading_30"/>
      <w:bookmarkStart w:id="66" w:name="_Toc13014"/>
      <w:r>
        <w:t>阶段性验收（</w:t>
      </w:r>
      <w:r>
        <w:rPr>
          <w:rFonts w:hint="eastAsia"/>
          <w:lang w:val="en-US" w:eastAsia="zh-CN"/>
        </w:rPr>
        <w:t>半年度</w:t>
      </w:r>
      <w:r>
        <w:t>）</w:t>
      </w:r>
      <w:bookmarkEnd w:id="65"/>
      <w:bookmarkEnd w:id="66"/>
    </w:p>
    <w:p w14:paraId="24EBFA41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rPr>
          <w:rFonts w:hint="eastAsia"/>
          <w:lang w:val="en-US" w:eastAsia="zh-CN"/>
        </w:rPr>
        <w:t>半年</w:t>
      </w:r>
      <w:r>
        <w:t>度验收需满足以下条件：提交《运维服务验收报告（季度）》；提供SLA指标达成情况统计；客户满意度评分达标。经甲方签字确认后，视为</w:t>
      </w:r>
      <w:r>
        <w:rPr>
          <w:rFonts w:hint="eastAsia"/>
          <w:lang w:val="en-US" w:eastAsia="zh-CN"/>
        </w:rPr>
        <w:t>本半年</w:t>
      </w:r>
      <w:r>
        <w:t>度服务验收通过。</w:t>
      </w:r>
    </w:p>
    <w:p w14:paraId="1B91AEB6">
      <w:pPr>
        <w:pStyle w:val="3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7" w:name="heading_31"/>
      <w:bookmarkStart w:id="68" w:name="_Toc17815"/>
      <w:r>
        <w:t>最终验收（年度）</w:t>
      </w:r>
      <w:bookmarkEnd w:id="67"/>
      <w:bookmarkEnd w:id="68"/>
    </w:p>
    <w:p w14:paraId="2356DE0C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年度验收需满足以下条件：提交《运维服务年度总结报告》；汇总年度SLA指标达成情况；提供年度客户满意度评分；所有交付物归档完整。经甲方签字确认后，视为项目整体验收通过。</w:t>
      </w:r>
    </w:p>
    <w:p w14:paraId="68BB2CD3">
      <w:pPr>
        <w:pStyle w:val="3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69" w:name="heading_32"/>
      <w:bookmarkStart w:id="70" w:name="_Toc15722"/>
      <w:r>
        <w:t>附件</w:t>
      </w:r>
      <w:bookmarkEnd w:id="69"/>
      <w:bookmarkEnd w:id="70"/>
    </w:p>
    <w:p w14:paraId="0D12F315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附件1：《运维服务需求清单》模板</w:t>
      </w:r>
    </w:p>
    <w:p w14:paraId="52815F23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附件2：《运维服务计划》模板</w:t>
      </w:r>
    </w:p>
    <w:p w14:paraId="368DC8C0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附件3：《运维服务过程记录单》模板</w:t>
      </w:r>
    </w:p>
    <w:p w14:paraId="471A68C5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附件4：《远程运维服务确认单》模板</w:t>
      </w:r>
    </w:p>
    <w:p w14:paraId="65BDEA21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附件5：《现场运维服务单》模板</w:t>
      </w:r>
    </w:p>
    <w:p w14:paraId="61E1FB24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附件6：《运维服务质量月报》模板</w:t>
      </w:r>
    </w:p>
    <w:p w14:paraId="6D53825E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附件7：《运维服务验收报告》模板</w:t>
      </w:r>
    </w:p>
    <w:p w14:paraId="49F88062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附件8：《合规性检查报告》模板</w:t>
      </w:r>
    </w:p>
    <w:p w14:paraId="73B392B1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附件9：《服务改进报告》模板</w:t>
      </w:r>
    </w:p>
    <w:p w14:paraId="33E549B8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附件10：《运维服务年度总结报告》模板</w:t>
      </w:r>
    </w:p>
    <w:p w14:paraId="77C0D892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附件11：《硬件故障处理记录单》模板</w:t>
      </w:r>
    </w:p>
    <w:p w14:paraId="639E0B8E">
      <w:pPr>
        <w:pStyle w:val="3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附件12：《托管设备清单》</w:t>
      </w:r>
    </w:p>
    <w:p w14:paraId="714CADE1">
      <w:pPr>
        <w:pStyle w:val="20"/>
        <w:keepNext w:val="0"/>
        <w:keepLines w:val="0"/>
        <w:pageBreakBefore w:val="0"/>
        <w:widowControl w:val="0"/>
        <w:suppressLineNumbers w:val="0"/>
        <w:wordWrap/>
        <w:overflowPunct/>
        <w:topLinePunct w:val="0"/>
        <w:bidi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9"/>
      <w:pgMar w:top="1431" w:right="1686" w:bottom="1152" w:left="1686" w:header="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995BE">
    <w:pPr>
      <w:spacing w:line="186" w:lineRule="auto"/>
      <w:ind w:left="419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07FE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A54A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A4C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1424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913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B10DB"/>
    <w:multiLevelType w:val="singleLevel"/>
    <w:tmpl w:val="84DB10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50D028E"/>
    <w:multiLevelType w:val="singleLevel"/>
    <w:tmpl w:val="B50D02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5E5CF60"/>
    <w:multiLevelType w:val="singleLevel"/>
    <w:tmpl w:val="C5E5CF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3A36977"/>
    <w:multiLevelType w:val="singleLevel"/>
    <w:tmpl w:val="E3A369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FF4332E"/>
    <w:multiLevelType w:val="singleLevel"/>
    <w:tmpl w:val="FFF433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23AA8CA"/>
    <w:multiLevelType w:val="singleLevel"/>
    <w:tmpl w:val="223AA8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9E49D87"/>
    <w:multiLevelType w:val="singleLevel"/>
    <w:tmpl w:val="29E49D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5D0260B"/>
    <w:multiLevelType w:val="singleLevel"/>
    <w:tmpl w:val="65D026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839C504"/>
    <w:multiLevelType w:val="singleLevel"/>
    <w:tmpl w:val="7839C5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9"/>
  </w:num>
  <w:num w:numId="7">
    <w:abstractNumId w:val="3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000000"/>
    <w:rsid w:val="07EA70C4"/>
    <w:rsid w:val="13F50D27"/>
    <w:rsid w:val="2F48454C"/>
    <w:rsid w:val="370B1A55"/>
    <w:rsid w:val="402648EC"/>
    <w:rsid w:val="61032D90"/>
    <w:rsid w:val="6D940381"/>
    <w:rsid w:val="70E52B71"/>
    <w:rsid w:val="711E60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Plain Text"/>
    <w:basedOn w:val="1"/>
    <w:qFormat/>
    <w:uiPriority w:val="0"/>
    <w:rPr>
      <w:rFonts w:ascii="宋体" w:hAnsi="Courier New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page number"/>
    <w:basedOn w:val="24"/>
    <w:qFormat/>
    <w:uiPriority w:val="0"/>
  </w:style>
  <w:style w:type="paragraph" w:customStyle="1" w:styleId="27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30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31">
    <w:name w:val="目录标题"/>
    <w:next w:val="1"/>
    <w:qFormat/>
    <w:uiPriority w:val="0"/>
    <w:pPr>
      <w:spacing w:line="360" w:lineRule="auto"/>
      <w:ind w:firstLine="480" w:firstLineChars="200"/>
      <w:jc w:val="center"/>
      <w:outlineLvl w:val="9"/>
    </w:pPr>
    <w:rPr>
      <w:rFonts w:ascii="宋体" w:hAnsi="宋体" w:eastAsia="宋体" w:cs="Times New Roman"/>
      <w:sz w:val="21"/>
      <w:szCs w:val="22"/>
      <w:lang w:bidi="ar-SA"/>
    </w:rPr>
  </w:style>
  <w:style w:type="paragraph" w:customStyle="1" w:styleId="32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5">
    <w:name w:val="柴_标题1"/>
    <w:basedOn w:val="2"/>
    <w:next w:val="36"/>
    <w:link w:val="4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6">
    <w:name w:val="柴_正文"/>
    <w:basedOn w:val="12"/>
    <w:link w:val="4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7">
    <w:name w:val="柴_标题2"/>
    <w:basedOn w:val="3"/>
    <w:next w:val="36"/>
    <w:link w:val="5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8">
    <w:name w:val="柴_标题3"/>
    <w:basedOn w:val="4"/>
    <w:next w:val="36"/>
    <w:link w:val="5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9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3">
    <w:name w:val="Compact"/>
    <w:basedOn w:val="12"/>
    <w:qFormat/>
    <w:uiPriority w:val="0"/>
    <w:pPr>
      <w:spacing w:before="36" w:after="36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5">
    <w:name w:val="柴_标题1 Char"/>
    <w:link w:val="35"/>
    <w:qFormat/>
    <w:uiPriority w:val="0"/>
    <w:rPr>
      <w:rFonts w:ascii="Arial" w:hAnsi="Arial" w:eastAsia="宋体"/>
      <w:sz w:val="32"/>
    </w:rPr>
  </w:style>
  <w:style w:type="paragraph" w:customStyle="1" w:styleId="46">
    <w:name w:val="柴_正文_无缩进"/>
    <w:basedOn w:val="1"/>
    <w:link w:val="50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8">
    <w:name w:val="柴_正文 Char"/>
    <w:link w:val="36"/>
    <w:qFormat/>
    <w:uiPriority w:val="0"/>
    <w:rPr>
      <w:rFonts w:ascii="Arial" w:hAnsi="Arial" w:eastAsia="宋体"/>
      <w:sz w:val="24"/>
      <w:lang w:eastAsia="zh-CN"/>
    </w:rPr>
  </w:style>
  <w:style w:type="table" w:customStyle="1" w:styleId="4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柴_正文_无缩进 Char"/>
    <w:link w:val="46"/>
    <w:qFormat/>
    <w:uiPriority w:val="0"/>
    <w:rPr>
      <w:rFonts w:ascii="Arial" w:hAnsi="Arial"/>
      <w:sz w:val="24"/>
      <w:lang w:eastAsia="zh-CN"/>
    </w:rPr>
  </w:style>
  <w:style w:type="character" w:customStyle="1" w:styleId="51">
    <w:name w:val="柴_标题2 Char"/>
    <w:link w:val="37"/>
    <w:qFormat/>
    <w:uiPriority w:val="0"/>
    <w:rPr>
      <w:rFonts w:ascii="Arial" w:hAnsi="Arial" w:eastAsia="宋体"/>
      <w:sz w:val="28"/>
    </w:rPr>
  </w:style>
  <w:style w:type="character" w:customStyle="1" w:styleId="52">
    <w:name w:val="柴_标题3 Char"/>
    <w:link w:val="38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4059</Words>
  <Characters>4356</Characters>
  <Lines>0</Lines>
  <Paragraphs>0</Paragraphs>
  <TotalTime>0</TotalTime>
  <ScaleCrop>false</ScaleCrop>
  <LinksUpToDate>false</LinksUpToDate>
  <CharactersWithSpaces>4671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2021-11-05T07:49:00Z</dcterms:created>
  <dc:creator>asus</dc:creator>
  <cp:lastModifiedBy>郝宇</cp:lastModifiedBy>
  <dcterms:modified xsi:type="dcterms:W3CDTF">2026-07-01T03:20:18Z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2023-06-05T16:41:20Z</vt:filetime>
  </property>
  <property fmtid="{D5CDD505-2E9C-101B-9397-08002B2CF9AE}" pid="3" name="CRO">
    <vt:lpwstr>wqlLaW5nc29mdCBQREYgdG8gV1BTIDgw</vt:lpwstr>
  </property>
  <property fmtid="{D5CDD505-2E9C-101B-9397-08002B2CF9AE}" pid="4" name="ICV">
    <vt:lpwstr>8775F1E0FBE842AEABC0B7F6490A5F7C_12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eyJoZGlkIjoiMDY5NmFjMmM4ZTljMGJiZDAxN2JmYTc0NGI0NmFiNDgiLCJ1c2VySWQiOiIxMDc1MzgyOSJ9</vt:lpwstr>
  </property>
</Properties>
</file>