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0C4CD">
      <w:pPr>
        <w:tabs>
          <w:tab w:val="left" w:pos="0"/>
        </w:tabs>
        <w:spacing w:before="120" w:after="120" w:line="240" w:lineRule="auto"/>
        <w:ind w:firstLine="0" w:firstLineChars="0"/>
        <w:jc w:val="center"/>
        <w:rPr>
          <w:rFonts w:hint="eastAsia" w:ascii="宋体" w:hAnsi="宋体" w:cs="宋体"/>
          <w:b/>
          <w:sz w:val="52"/>
          <w:szCs w:val="52"/>
        </w:rPr>
      </w:pPr>
    </w:p>
    <w:p w14:paraId="5E1AB321">
      <w:pPr>
        <w:tabs>
          <w:tab w:val="left" w:pos="0"/>
        </w:tabs>
        <w:spacing w:before="120" w:after="120" w:line="240" w:lineRule="auto"/>
        <w:ind w:firstLine="0" w:firstLineChars="0"/>
        <w:jc w:val="center"/>
        <w:rPr>
          <w:rFonts w:hint="eastAsia" w:ascii="宋体" w:hAnsi="宋体" w:cs="宋体"/>
          <w:b/>
          <w:bCs/>
          <w:sz w:val="52"/>
          <w:szCs w:val="52"/>
        </w:rPr>
      </w:pPr>
    </w:p>
    <w:p w14:paraId="3C896DAD">
      <w:pPr>
        <w:tabs>
          <w:tab w:val="left" w:pos="0"/>
        </w:tabs>
        <w:spacing w:before="120" w:after="120" w:line="240" w:lineRule="auto"/>
        <w:ind w:firstLine="0" w:firstLineChars="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重庆市鹧鸪哨信息技术有限责任公司</w:t>
      </w:r>
    </w:p>
    <w:p w14:paraId="7F416740">
      <w:pPr>
        <w:tabs>
          <w:tab w:val="left" w:pos="0"/>
        </w:tabs>
        <w:spacing w:before="120" w:after="120" w:line="240" w:lineRule="auto"/>
        <w:ind w:firstLine="0" w:firstLineChars="0"/>
        <w:jc w:val="center"/>
        <w:rPr>
          <w:rFonts w:hint="eastAsia" w:ascii="宋体" w:hAnsi="宋体" w:cs="宋体"/>
          <w:b/>
          <w:sz w:val="52"/>
          <w:szCs w:val="52"/>
        </w:rPr>
      </w:pPr>
    </w:p>
    <w:p w14:paraId="0B23078D">
      <w:pPr>
        <w:tabs>
          <w:tab w:val="left" w:pos="0"/>
        </w:tabs>
        <w:spacing w:before="120" w:after="120" w:line="240" w:lineRule="auto"/>
        <w:ind w:firstLine="0" w:firstLineChars="0"/>
        <w:jc w:val="center"/>
        <w:rPr>
          <w:rFonts w:hint="eastAsia" w:ascii="宋体" w:hAnsi="宋体" w:cs="宋体"/>
          <w:b/>
          <w:sz w:val="52"/>
          <w:szCs w:val="52"/>
        </w:rPr>
      </w:pPr>
    </w:p>
    <w:p w14:paraId="59E56518">
      <w:pPr>
        <w:tabs>
          <w:tab w:val="left" w:pos="0"/>
        </w:tabs>
        <w:spacing w:before="120" w:after="120" w:line="240" w:lineRule="auto"/>
        <w:ind w:firstLine="0" w:firstLineChars="0"/>
        <w:jc w:val="center"/>
        <w:rPr>
          <w:rFonts w:hint="eastAsia" w:ascii="宋体" w:hAnsi="宋体" w:cs="宋体"/>
          <w:b/>
          <w:sz w:val="52"/>
          <w:szCs w:val="52"/>
        </w:rPr>
      </w:pPr>
    </w:p>
    <w:p w14:paraId="50641E63">
      <w:pPr>
        <w:tabs>
          <w:tab w:val="left" w:pos="0"/>
        </w:tabs>
        <w:spacing w:before="120" w:after="120" w:line="240" w:lineRule="auto"/>
        <w:ind w:firstLine="0" w:firstLineChars="0"/>
        <w:rPr>
          <w:rFonts w:hint="eastAsia" w:ascii="宋体" w:hAnsi="宋体" w:cs="宋体"/>
          <w:b/>
          <w:sz w:val="52"/>
          <w:szCs w:val="52"/>
        </w:rPr>
      </w:pPr>
    </w:p>
    <w:p w14:paraId="2BEE9F8C">
      <w:pPr>
        <w:spacing w:before="120" w:after="120" w:line="240" w:lineRule="auto"/>
        <w:ind w:left="-850" w:leftChars="-354" w:right="-766" w:rightChars="-319" w:firstLine="282" w:firstLineChars="54"/>
        <w:jc w:val="center"/>
        <w:rPr>
          <w:rFonts w:hint="eastAsia" w:ascii="宋体" w:hAnsi="宋体" w:cs="宋体"/>
          <w:b/>
          <w:sz w:val="52"/>
          <w:szCs w:val="52"/>
        </w:rPr>
      </w:pPr>
      <w:r>
        <w:rPr>
          <w:rFonts w:hint="eastAsia" w:ascii="宋体" w:hAnsi="宋体" w:cs="宋体"/>
          <w:b/>
          <w:sz w:val="52"/>
          <w:szCs w:val="52"/>
        </w:rPr>
        <w:t>运维服务工具应用情况说明及效果</w:t>
      </w:r>
    </w:p>
    <w:p w14:paraId="7C6B80B1">
      <w:pPr>
        <w:spacing w:before="120" w:after="120" w:line="240" w:lineRule="auto"/>
        <w:ind w:left="-850" w:leftChars="-354" w:right="-766" w:rightChars="-319" w:firstLine="282" w:firstLineChars="54"/>
        <w:jc w:val="center"/>
        <w:rPr>
          <w:rFonts w:hint="eastAsia" w:ascii="宋体" w:hAnsi="宋体" w:cs="宋体"/>
          <w:b/>
          <w:sz w:val="52"/>
          <w:szCs w:val="52"/>
        </w:rPr>
      </w:pPr>
      <w:r>
        <w:rPr>
          <w:rFonts w:hint="eastAsia" w:ascii="宋体" w:hAnsi="宋体" w:cs="宋体"/>
          <w:b/>
          <w:sz w:val="52"/>
          <w:szCs w:val="52"/>
        </w:rPr>
        <w:t>自评估报告</w:t>
      </w:r>
    </w:p>
    <w:p w14:paraId="43350767">
      <w:pPr>
        <w:spacing w:line="240" w:lineRule="auto"/>
        <w:ind w:firstLine="0" w:firstLineChars="0"/>
        <w:jc w:val="center"/>
        <w:rPr>
          <w:rFonts w:hint="eastAsia" w:ascii="宋体" w:hAnsi="宋体" w:cs="宋体"/>
          <w:b/>
          <w:snapToGrid w:val="0"/>
          <w:kern w:val="0"/>
        </w:rPr>
      </w:pPr>
      <w:r>
        <w:rPr>
          <w:rFonts w:hint="eastAsia" w:ascii="宋体" w:hAnsi="宋体" w:cs="宋体"/>
          <w:b/>
          <w:snapToGrid w:val="0"/>
          <w:kern w:val="0"/>
        </w:rPr>
        <w:t xml:space="preserve">《 </w:t>
      </w:r>
      <w:r>
        <w:rPr>
          <w:rFonts w:hint="eastAsia" w:ascii="宋体" w:hAnsi="宋体" w:cs="宋体"/>
          <w:b/>
          <w:snapToGrid w:val="0"/>
          <w:kern w:val="0"/>
          <w:lang w:val="en-US" w:eastAsia="zh-CN"/>
        </w:rPr>
        <w:t>XX监控</w:t>
      </w:r>
      <w:r>
        <w:rPr>
          <w:rFonts w:hint="eastAsia" w:ascii="宋体" w:hAnsi="宋体" w:cs="宋体"/>
          <w:b/>
          <w:snapToGrid w:val="0"/>
          <w:kern w:val="0"/>
        </w:rPr>
        <w:t>管理平台》</w:t>
      </w:r>
    </w:p>
    <w:p w14:paraId="6469D30E">
      <w:pPr>
        <w:widowControl/>
        <w:adjustRightInd/>
        <w:snapToGrid/>
        <w:spacing w:before="163" w:beforeLines="50" w:after="163" w:afterLines="50" w:line="240" w:lineRule="auto"/>
        <w:ind w:firstLine="0" w:firstLineChars="0"/>
        <w:jc w:val="center"/>
        <w:rPr>
          <w:rFonts w:hint="eastAsia" w:ascii="宋体" w:hAnsi="宋体" w:cs="宋体"/>
          <w:b/>
          <w:kern w:val="0"/>
          <w:sz w:val="20"/>
        </w:rPr>
      </w:pPr>
    </w:p>
    <w:p w14:paraId="4AD2BBB8">
      <w:pPr>
        <w:widowControl/>
        <w:adjustRightInd/>
        <w:snapToGrid/>
        <w:spacing w:before="163" w:beforeLines="50" w:after="163" w:afterLines="50" w:line="240" w:lineRule="auto"/>
        <w:ind w:firstLine="0" w:firstLineChars="0"/>
        <w:jc w:val="center"/>
        <w:rPr>
          <w:rFonts w:hint="eastAsia" w:ascii="宋体" w:hAnsi="宋体" w:cs="宋体"/>
          <w:b/>
          <w:kern w:val="0"/>
          <w:sz w:val="20"/>
        </w:rPr>
      </w:pPr>
    </w:p>
    <w:p w14:paraId="11785072">
      <w:pPr>
        <w:widowControl/>
        <w:adjustRightInd/>
        <w:snapToGrid/>
        <w:spacing w:before="163" w:beforeLines="50" w:after="163" w:afterLines="50" w:line="240" w:lineRule="auto"/>
        <w:ind w:firstLine="0" w:firstLineChars="0"/>
        <w:jc w:val="center"/>
        <w:rPr>
          <w:rFonts w:hint="eastAsia" w:ascii="宋体" w:hAnsi="宋体" w:cs="宋体"/>
          <w:b/>
          <w:kern w:val="0"/>
          <w:sz w:val="20"/>
        </w:rPr>
      </w:pPr>
    </w:p>
    <w:p w14:paraId="4FB2EDA5">
      <w:pPr>
        <w:widowControl/>
        <w:adjustRightInd/>
        <w:snapToGrid/>
        <w:spacing w:before="163" w:beforeLines="50" w:after="163" w:afterLines="50" w:line="240" w:lineRule="auto"/>
        <w:ind w:firstLine="0" w:firstLineChars="0"/>
        <w:jc w:val="center"/>
        <w:rPr>
          <w:rFonts w:hint="eastAsia" w:ascii="宋体" w:hAnsi="宋体" w:cs="宋体"/>
          <w:b/>
          <w:kern w:val="0"/>
          <w:sz w:val="20"/>
        </w:rPr>
      </w:pPr>
    </w:p>
    <w:p w14:paraId="1E53B0AE">
      <w:pPr>
        <w:adjustRightInd/>
        <w:snapToGrid/>
        <w:spacing w:line="240" w:lineRule="auto"/>
        <w:ind w:firstLine="0" w:firstLineChars="0"/>
        <w:rPr>
          <w:rFonts w:ascii="宋体" w:hAnsi="宋体" w:cs="宋体"/>
          <w:sz w:val="21"/>
          <w:szCs w:val="22"/>
        </w:rPr>
      </w:pPr>
    </w:p>
    <w:p w14:paraId="0BADBF9B">
      <w:pPr>
        <w:adjustRightInd/>
        <w:snapToGrid/>
        <w:spacing w:line="240" w:lineRule="auto"/>
        <w:ind w:firstLine="0" w:firstLineChars="0"/>
        <w:rPr>
          <w:rFonts w:ascii="宋体" w:hAnsi="宋体" w:cs="宋体"/>
          <w:sz w:val="21"/>
          <w:szCs w:val="22"/>
        </w:rPr>
      </w:pPr>
    </w:p>
    <w:tbl>
      <w:tblPr>
        <w:tblStyle w:val="16"/>
        <w:tblpPr w:leftFromText="180" w:rightFromText="180" w:vertAnchor="text" w:horzAnchor="page" w:tblpX="1787" w:tblpY="155"/>
        <w:tblOverlap w:val="never"/>
        <w:tblW w:w="8360" w:type="dxa"/>
        <w:tblInd w:w="0" w:type="dxa"/>
        <w:tblBorders>
          <w:top w:val="single" w:color="000000" w:sz="12" w:space="0"/>
          <w:left w:val="none" w:color="auto" w:sz="0" w:space="0"/>
          <w:bottom w:val="single" w:color="auto" w:sz="12" w:space="0"/>
          <w:right w:val="none" w:color="auto" w:sz="0" w:space="0"/>
          <w:insideH w:val="dotted" w:color="auto" w:sz="4" w:space="0"/>
          <w:insideV w:val="none" w:color="auto" w:sz="0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1417"/>
        <w:gridCol w:w="3011"/>
        <w:gridCol w:w="1276"/>
        <w:gridCol w:w="2656"/>
      </w:tblGrid>
      <w:tr w14:paraId="42806FCF">
        <w:tblPrEx>
          <w:tblBorders>
            <w:top w:val="single" w:color="000000" w:sz="12" w:space="0"/>
            <w:left w:val="none" w:color="auto" w:sz="0" w:space="0"/>
            <w:bottom w:val="single" w:color="auto" w:sz="12" w:space="0"/>
            <w:right w:val="none" w:color="auto" w:sz="0" w:space="0"/>
            <w:insideH w:val="dotted" w:color="auto" w:sz="4" w:space="0"/>
            <w:insideV w:val="none" w:color="auto" w:sz="0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0" w:hRule="atLeast"/>
        </w:trPr>
        <w:tc>
          <w:tcPr>
            <w:tcW w:w="1417" w:type="dxa"/>
            <w:tcBorders>
              <w:top w:val="single" w:color="000000" w:sz="12" w:space="0"/>
              <w:bottom w:val="single" w:color="000000" w:sz="12" w:space="0"/>
              <w:right w:val="dotted" w:color="auto" w:sz="4" w:space="0"/>
            </w:tcBorders>
            <w:shd w:val="clear" w:color="auto" w:fill="FFFFFF"/>
          </w:tcPr>
          <w:p w14:paraId="239C6039">
            <w:pPr>
              <w:ind w:left="0" w:leftChars="0" w:firstLine="0" w:firstLineChars="0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3011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0EE730D2"/>
        </w:tc>
        <w:tc>
          <w:tcPr>
            <w:tcW w:w="1276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22D4952B">
            <w:r>
              <w:rPr>
                <w:rFonts w:hint="eastAsia"/>
              </w:rPr>
              <w:t>版本</w:t>
            </w:r>
          </w:p>
        </w:tc>
        <w:tc>
          <w:tcPr>
            <w:tcW w:w="2656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506B614C">
            <w:pPr>
              <w:rPr>
                <w:rFonts w:hint="eastAsia"/>
              </w:rPr>
            </w:pPr>
            <w:r>
              <w:rPr>
                <w:rFonts w:hint="eastAsia"/>
              </w:rPr>
              <w:t>1.1</w:t>
            </w:r>
          </w:p>
        </w:tc>
      </w:tr>
      <w:tr w14:paraId="0CAAA8D5">
        <w:tblPrEx>
          <w:tblBorders>
            <w:top w:val="single" w:color="000000" w:sz="12" w:space="0"/>
            <w:left w:val="none" w:color="auto" w:sz="0" w:space="0"/>
            <w:bottom w:val="single" w:color="auto" w:sz="12" w:space="0"/>
            <w:right w:val="none" w:color="auto" w:sz="0" w:space="0"/>
            <w:insideH w:val="dotted" w:color="auto" w:sz="4" w:space="0"/>
            <w:insideV w:val="none" w:color="auto" w:sz="0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0" w:hRule="atLeast"/>
        </w:trPr>
        <w:tc>
          <w:tcPr>
            <w:tcW w:w="1417" w:type="dxa"/>
            <w:tcBorders>
              <w:top w:val="single" w:color="000000" w:sz="12" w:space="0"/>
              <w:bottom w:val="single" w:color="000000" w:sz="12" w:space="0"/>
              <w:right w:val="dotted" w:color="auto" w:sz="4" w:space="0"/>
            </w:tcBorders>
            <w:shd w:val="clear" w:color="auto" w:fill="FFFFFF"/>
          </w:tcPr>
          <w:p w14:paraId="544E31D0">
            <w:pPr>
              <w:rPr>
                <w:rFonts w:hint="eastAsia"/>
              </w:rPr>
            </w:pPr>
            <w:r>
              <w:rPr>
                <w:rFonts w:hint="eastAsia"/>
              </w:rPr>
              <w:t>编写人</w:t>
            </w:r>
          </w:p>
        </w:tc>
        <w:tc>
          <w:tcPr>
            <w:tcW w:w="3011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5BAD0201"/>
        </w:tc>
        <w:tc>
          <w:tcPr>
            <w:tcW w:w="1276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7ECDFB0D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656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3E09967D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0AC3910B">
        <w:tblPrEx>
          <w:tblBorders>
            <w:top w:val="single" w:color="000000" w:sz="12" w:space="0"/>
            <w:left w:val="none" w:color="auto" w:sz="0" w:space="0"/>
            <w:bottom w:val="single" w:color="auto" w:sz="12" w:space="0"/>
            <w:right w:val="none" w:color="auto" w:sz="0" w:space="0"/>
            <w:insideH w:val="dotted" w:color="auto" w:sz="4" w:space="0"/>
            <w:insideV w:val="none" w:color="auto" w:sz="0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0" w:hRule="atLeast"/>
        </w:trPr>
        <w:tc>
          <w:tcPr>
            <w:tcW w:w="1417" w:type="dxa"/>
            <w:tcBorders>
              <w:top w:val="single" w:color="000000" w:sz="12" w:space="0"/>
              <w:bottom w:val="single" w:color="000000" w:sz="12" w:space="0"/>
              <w:right w:val="dotted" w:color="auto" w:sz="4" w:space="0"/>
            </w:tcBorders>
            <w:shd w:val="clear" w:color="auto" w:fill="FFFFFF"/>
          </w:tcPr>
          <w:p w14:paraId="0A1BB76B">
            <w:pPr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  <w:tc>
          <w:tcPr>
            <w:tcW w:w="3011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5730928A"/>
        </w:tc>
        <w:tc>
          <w:tcPr>
            <w:tcW w:w="1276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26E8A7A9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656" w:type="dxa"/>
            <w:tcBorders>
              <w:top w:val="single" w:color="000000" w:sz="12" w:space="0"/>
              <w:left w:val="dotted" w:color="auto" w:sz="4" w:space="0"/>
              <w:bottom w:val="single" w:color="000000" w:sz="12" w:space="0"/>
            </w:tcBorders>
            <w:shd w:val="clear" w:color="auto" w:fill="FFFFFF"/>
          </w:tcPr>
          <w:p w14:paraId="04617210">
            <w:pPr>
              <w:rPr>
                <w:rFonts w:hint="default"/>
                <w:lang w:val="en-US"/>
              </w:rPr>
            </w:pPr>
          </w:p>
        </w:tc>
      </w:tr>
      <w:tr w14:paraId="10195AAE">
        <w:tblPrEx>
          <w:tblBorders>
            <w:top w:val="single" w:color="000000" w:sz="12" w:space="0"/>
            <w:left w:val="none" w:color="auto" w:sz="0" w:space="0"/>
            <w:bottom w:val="single" w:color="auto" w:sz="12" w:space="0"/>
            <w:right w:val="none" w:color="auto" w:sz="0" w:space="0"/>
            <w:insideH w:val="dotted" w:color="auto" w:sz="4" w:space="0"/>
            <w:insideV w:val="none" w:color="auto" w:sz="0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0" w:hRule="atLeast"/>
        </w:trPr>
        <w:tc>
          <w:tcPr>
            <w:tcW w:w="1417" w:type="dxa"/>
            <w:tcBorders>
              <w:top w:val="single" w:color="000000" w:sz="12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BA00414">
            <w:pPr>
              <w:rPr>
                <w:rFonts w:hint="eastAsia"/>
              </w:rPr>
            </w:pPr>
            <w:r>
              <w:rPr>
                <w:rFonts w:hint="eastAsia"/>
              </w:rPr>
              <w:t>审批人</w:t>
            </w:r>
          </w:p>
        </w:tc>
        <w:tc>
          <w:tcPr>
            <w:tcW w:w="3011" w:type="dxa"/>
            <w:tcBorders>
              <w:top w:val="single" w:color="000000" w:sz="12" w:space="0"/>
              <w:left w:val="dotted" w:color="auto" w:sz="4" w:space="0"/>
              <w:bottom w:val="dotted" w:color="auto" w:sz="4" w:space="0"/>
            </w:tcBorders>
            <w:shd w:val="clear" w:color="auto" w:fill="FFFFFF"/>
          </w:tcPr>
          <w:p w14:paraId="2A62AD8D"/>
        </w:tc>
        <w:tc>
          <w:tcPr>
            <w:tcW w:w="1276" w:type="dxa"/>
            <w:tcBorders>
              <w:top w:val="single" w:color="000000" w:sz="12" w:space="0"/>
              <w:left w:val="dotted" w:color="auto" w:sz="4" w:space="0"/>
              <w:bottom w:val="dotted" w:color="auto" w:sz="4" w:space="0"/>
            </w:tcBorders>
            <w:shd w:val="clear" w:color="auto" w:fill="FFFFFF"/>
          </w:tcPr>
          <w:p w14:paraId="03BABA61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656" w:type="dxa"/>
            <w:tcBorders>
              <w:top w:val="single" w:color="000000" w:sz="12" w:space="0"/>
              <w:left w:val="dotted" w:color="auto" w:sz="4" w:space="0"/>
              <w:bottom w:val="dotted" w:color="auto" w:sz="4" w:space="0"/>
            </w:tcBorders>
            <w:shd w:val="clear" w:color="auto" w:fill="FFFFFF"/>
          </w:tcPr>
          <w:p w14:paraId="48AC3ED8">
            <w:pPr>
              <w:rPr>
                <w:rFonts w:hint="default"/>
                <w:lang w:val="en-US"/>
              </w:rPr>
            </w:pPr>
          </w:p>
        </w:tc>
      </w:tr>
    </w:tbl>
    <w:tbl>
      <w:tblPr>
        <w:tblStyle w:val="16"/>
        <w:tblpPr w:leftFromText="180" w:rightFromText="180" w:vertAnchor="text" w:horzAnchor="page" w:tblpX="1777" w:tblpY="201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990"/>
        <w:gridCol w:w="1320"/>
        <w:gridCol w:w="2420"/>
      </w:tblGrid>
      <w:tr w14:paraId="7692C69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7B87205">
            <w:r>
              <w:rPr>
                <w:rFonts w:hint="eastAsia"/>
              </w:rPr>
              <w:t>发布</w:t>
            </w:r>
          </w:p>
        </w:tc>
        <w:tc>
          <w:tcPr>
            <w:tcW w:w="2990" w:type="dxa"/>
          </w:tcPr>
          <w:p w14:paraId="18026B2C"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月</w:t>
            </w:r>
            <w:r>
              <w:rPr>
                <w:rFonts w:hint="eastAsia"/>
                <w:lang w:val="en-US" w:eastAsia="zh-CN"/>
              </w:rPr>
              <w:t>28</w:t>
            </w:r>
            <w:r>
              <w:t>日</w:t>
            </w:r>
          </w:p>
        </w:tc>
        <w:tc>
          <w:tcPr>
            <w:tcW w:w="1320" w:type="dxa"/>
          </w:tcPr>
          <w:p w14:paraId="6B9A6ECA">
            <w:r>
              <w:rPr>
                <w:rFonts w:hint="eastAsia"/>
              </w:rPr>
              <w:t>实施</w:t>
            </w:r>
          </w:p>
        </w:tc>
        <w:tc>
          <w:tcPr>
            <w:tcW w:w="2420" w:type="dxa"/>
          </w:tcPr>
          <w:p w14:paraId="234AD5CD">
            <w:pPr>
              <w:ind w:left="0" w:leftChars="0" w:firstLine="0" w:firstLineChars="0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月</w:t>
            </w:r>
            <w:r>
              <w:rPr>
                <w:rFonts w:hint="eastAsia"/>
                <w:lang w:val="en-US" w:eastAsia="zh-CN"/>
              </w:rPr>
              <w:t>28</w:t>
            </w:r>
            <w:r>
              <w:t>日</w:t>
            </w:r>
          </w:p>
        </w:tc>
      </w:tr>
    </w:tbl>
    <w:p w14:paraId="2B510ABE">
      <w:r>
        <w:br w:type="page"/>
      </w:r>
    </w:p>
    <w:p w14:paraId="1444F982">
      <w:pPr>
        <w:adjustRightInd/>
        <w:snapToGrid/>
        <w:spacing w:after="163" w:afterLines="50" w:line="240" w:lineRule="auto"/>
        <w:ind w:firstLine="0" w:firstLineChars="0"/>
        <w:jc w:val="center"/>
        <w:rPr>
          <w:rFonts w:ascii="宋体" w:hAnsi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版本修改</w:t>
      </w:r>
      <w:r>
        <w:rPr>
          <w:rFonts w:hint="eastAsia" w:ascii="宋体" w:hAnsi="宋体" w:cs="宋体"/>
          <w:b/>
          <w:bCs/>
          <w:kern w:val="0"/>
          <w:sz w:val="32"/>
          <w:szCs w:val="32"/>
        </w:rPr>
        <w:t>清单</w:t>
      </w:r>
    </w:p>
    <w:tbl>
      <w:tblPr>
        <w:tblStyle w:val="16"/>
        <w:tblpPr w:leftFromText="180" w:rightFromText="180" w:vertAnchor="text" w:horzAnchor="page" w:tblpX="1667" w:tblpY="647"/>
        <w:tblOverlap w:val="never"/>
        <w:tblW w:w="8682" w:type="dxa"/>
        <w:tblInd w:w="0" w:type="dxa"/>
        <w:tblBorders>
          <w:top w:val="single" w:color="000000" w:sz="12" w:space="0"/>
          <w:left w:val="none" w:color="auto" w:sz="0" w:space="0"/>
          <w:bottom w:val="single" w:color="auto" w:sz="12" w:space="0"/>
          <w:right w:val="none" w:color="auto" w:sz="0" w:space="0"/>
          <w:insideH w:val="dotted" w:color="auto" w:sz="4" w:space="0"/>
          <w:insideV w:val="none" w:color="auto" w:sz="0" w:space="0"/>
        </w:tblBorders>
        <w:tblLayout w:type="fixed"/>
        <w:tblCellMar>
          <w:top w:w="28" w:type="dxa"/>
          <w:left w:w="108" w:type="dxa"/>
          <w:bottom w:w="28" w:type="dxa"/>
          <w:right w:w="108" w:type="dxa"/>
        </w:tblCellMar>
      </w:tblPr>
      <w:tblGrid>
        <w:gridCol w:w="822"/>
        <w:gridCol w:w="1635"/>
        <w:gridCol w:w="5181"/>
        <w:gridCol w:w="1044"/>
      </w:tblGrid>
      <w:tr w14:paraId="20720FA3">
        <w:tblPrEx>
          <w:tblBorders>
            <w:top w:val="single" w:color="000000" w:sz="12" w:space="0"/>
            <w:left w:val="none" w:color="auto" w:sz="0" w:space="0"/>
            <w:bottom w:val="single" w:color="auto" w:sz="12" w:space="0"/>
            <w:right w:val="none" w:color="auto" w:sz="0" w:space="0"/>
            <w:insideH w:val="dotted" w:color="auto" w:sz="4" w:space="0"/>
            <w:insideV w:val="none" w:color="auto" w:sz="0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93" w:hRule="atLeast"/>
        </w:trPr>
        <w:tc>
          <w:tcPr>
            <w:tcW w:w="822" w:type="dxa"/>
            <w:tcBorders>
              <w:top w:val="single" w:color="000000" w:sz="12" w:space="0"/>
              <w:bottom w:val="single" w:color="000000" w:sz="6" w:space="0"/>
              <w:right w:val="dotted" w:color="auto" w:sz="4" w:space="0"/>
            </w:tcBorders>
            <w:shd w:val="clear" w:color="auto" w:fill="FFFFFF"/>
            <w:tcMar>
              <w:left w:w="28" w:type="dxa"/>
              <w:right w:w="28" w:type="dxa"/>
            </w:tcMar>
          </w:tcPr>
          <w:p w14:paraId="3524A893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版本</w:t>
            </w:r>
          </w:p>
        </w:tc>
        <w:tc>
          <w:tcPr>
            <w:tcW w:w="1635" w:type="dxa"/>
            <w:tcBorders>
              <w:top w:val="single" w:color="000000" w:sz="12" w:space="0"/>
              <w:left w:val="dotted" w:color="auto" w:sz="4" w:space="0"/>
              <w:bottom w:val="single" w:color="000000" w:sz="6" w:space="0"/>
            </w:tcBorders>
            <w:shd w:val="clear" w:color="auto" w:fill="FFFFFF"/>
          </w:tcPr>
          <w:p w14:paraId="5A63D9A8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修改时间</w:t>
            </w:r>
          </w:p>
        </w:tc>
        <w:tc>
          <w:tcPr>
            <w:tcW w:w="5181" w:type="dxa"/>
            <w:tcBorders>
              <w:top w:val="single" w:color="000000" w:sz="12" w:space="0"/>
              <w:left w:val="dotted" w:color="auto" w:sz="4" w:space="0"/>
              <w:bottom w:val="single" w:color="000000" w:sz="6" w:space="0"/>
            </w:tcBorders>
            <w:shd w:val="clear" w:color="auto" w:fill="FFFFFF"/>
          </w:tcPr>
          <w:p w14:paraId="43A1DC18">
            <w:pPr>
              <w:tabs>
                <w:tab w:val="left" w:pos="769"/>
                <w:tab w:val="center" w:pos="2742"/>
              </w:tabs>
              <w:adjustRightInd/>
              <w:snapToGrid/>
              <w:spacing w:line="240" w:lineRule="auto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修改内容</w:t>
            </w:r>
          </w:p>
        </w:tc>
        <w:tc>
          <w:tcPr>
            <w:tcW w:w="1044" w:type="dxa"/>
            <w:tcBorders>
              <w:top w:val="single" w:color="000000" w:sz="12" w:space="0"/>
              <w:left w:val="dotted" w:color="auto" w:sz="4" w:space="0"/>
              <w:bottom w:val="single" w:color="000000" w:sz="6" w:space="0"/>
            </w:tcBorders>
            <w:shd w:val="clear" w:color="auto" w:fill="FFFFFF"/>
          </w:tcPr>
          <w:p w14:paraId="33856B4C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修改者</w:t>
            </w:r>
          </w:p>
        </w:tc>
      </w:tr>
      <w:tr w14:paraId="60C00E77">
        <w:tblPrEx>
          <w:tblBorders>
            <w:top w:val="single" w:color="000000" w:sz="12" w:space="0"/>
            <w:left w:val="none" w:color="auto" w:sz="0" w:space="0"/>
            <w:bottom w:val="single" w:color="auto" w:sz="12" w:space="0"/>
            <w:right w:val="none" w:color="auto" w:sz="0" w:space="0"/>
            <w:insideH w:val="dotted" w:color="auto" w:sz="4" w:space="0"/>
            <w:insideV w:val="none" w:color="auto" w:sz="0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85" w:hRule="atLeast"/>
        </w:trPr>
        <w:tc>
          <w:tcPr>
            <w:tcW w:w="822" w:type="dxa"/>
            <w:tcBorders>
              <w:right w:val="dotted" w:color="auto" w:sz="4" w:space="0"/>
            </w:tcBorders>
          </w:tcPr>
          <w:p w14:paraId="52CEAF90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1635" w:type="dxa"/>
            <w:tcBorders>
              <w:left w:val="dotted" w:color="auto" w:sz="4" w:space="0"/>
            </w:tcBorders>
          </w:tcPr>
          <w:p w14:paraId="3A4D00E8">
            <w:pPr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  <w:tc>
          <w:tcPr>
            <w:tcW w:w="5181" w:type="dxa"/>
            <w:tcBorders>
              <w:left w:val="dotted" w:color="auto" w:sz="4" w:space="0"/>
            </w:tcBorders>
          </w:tcPr>
          <w:p w14:paraId="41710F2C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新建</w:t>
            </w:r>
          </w:p>
        </w:tc>
        <w:tc>
          <w:tcPr>
            <w:tcW w:w="1044" w:type="dxa"/>
            <w:tcBorders>
              <w:left w:val="dotted" w:color="auto" w:sz="4" w:space="0"/>
            </w:tcBorders>
          </w:tcPr>
          <w:p w14:paraId="21B6930E">
            <w:pPr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</w:tr>
      <w:tr w14:paraId="1DCEC126">
        <w:tblPrEx>
          <w:tblBorders>
            <w:top w:val="single" w:color="000000" w:sz="12" w:space="0"/>
            <w:left w:val="none" w:color="auto" w:sz="0" w:space="0"/>
            <w:bottom w:val="single" w:color="auto" w:sz="12" w:space="0"/>
            <w:right w:val="none" w:color="auto" w:sz="0" w:space="0"/>
            <w:insideH w:val="dotted" w:color="auto" w:sz="4" w:space="0"/>
            <w:insideV w:val="none" w:color="auto" w:sz="0" w:space="0"/>
          </w:tblBorders>
          <w:tblCellMar>
            <w:top w:w="28" w:type="dxa"/>
            <w:left w:w="108" w:type="dxa"/>
            <w:bottom w:w="28" w:type="dxa"/>
            <w:right w:w="108" w:type="dxa"/>
          </w:tblCellMar>
        </w:tblPrEx>
        <w:trPr>
          <w:trHeight w:val="285" w:hRule="atLeast"/>
        </w:trPr>
        <w:tc>
          <w:tcPr>
            <w:tcW w:w="822" w:type="dxa"/>
            <w:tcBorders>
              <w:right w:val="dotted" w:color="auto" w:sz="4" w:space="0"/>
            </w:tcBorders>
          </w:tcPr>
          <w:p w14:paraId="46CCC812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635" w:type="dxa"/>
            <w:tcBorders>
              <w:left w:val="dotted" w:color="auto" w:sz="4" w:space="0"/>
            </w:tcBorders>
          </w:tcPr>
          <w:p w14:paraId="786946BF">
            <w:pPr>
              <w:ind w:left="0" w:leftChars="0" w:firstLine="0" w:firstLineChars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5181" w:type="dxa"/>
            <w:tcBorders>
              <w:left w:val="dotted" w:color="auto" w:sz="4" w:space="0"/>
            </w:tcBorders>
          </w:tcPr>
          <w:p w14:paraId="1A3D77D4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修改</w:t>
            </w:r>
          </w:p>
        </w:tc>
        <w:tc>
          <w:tcPr>
            <w:tcW w:w="1044" w:type="dxa"/>
            <w:tcBorders>
              <w:left w:val="dotted" w:color="auto" w:sz="4" w:space="0"/>
            </w:tcBorders>
          </w:tcPr>
          <w:p w14:paraId="0E847225">
            <w:pPr>
              <w:ind w:left="0" w:leftChars="0" w:firstLine="0" w:firstLineChars="0"/>
              <w:rPr>
                <w:rFonts w:hint="eastAsia" w:ascii="宋体" w:hAnsi="宋体" w:eastAsia="宋体" w:cs="宋体"/>
              </w:rPr>
            </w:pPr>
          </w:p>
        </w:tc>
      </w:tr>
    </w:tbl>
    <w:p w14:paraId="7FC876D0">
      <w:pPr>
        <w:ind w:firstLine="480"/>
        <w:rPr>
          <w:rFonts w:ascii="宋体" w:hAnsi="宋体" w:cs="宋体"/>
          <w:kern w:val="0"/>
        </w:rPr>
      </w:pPr>
    </w:p>
    <w:p w14:paraId="74F2D0D2">
      <w:pPr>
        <w:ind w:firstLine="480"/>
        <w:rPr>
          <w:rFonts w:ascii="宋体" w:hAnsi="宋体" w:cs="宋体"/>
          <w:kern w:val="0"/>
        </w:rPr>
      </w:pPr>
    </w:p>
    <w:p w14:paraId="2241FC35">
      <w:pPr>
        <w:ind w:firstLine="480"/>
        <w:rPr>
          <w:rFonts w:ascii="宋体" w:hAnsi="宋体" w:cs="宋体"/>
          <w:kern w:val="0"/>
        </w:rPr>
      </w:pPr>
    </w:p>
    <w:p w14:paraId="587530BA">
      <w:pPr>
        <w:ind w:firstLine="480"/>
        <w:rPr>
          <w:rFonts w:ascii="宋体" w:hAnsi="宋体" w:cs="宋体"/>
          <w:kern w:val="0"/>
        </w:rPr>
      </w:pPr>
    </w:p>
    <w:p w14:paraId="22DB479C">
      <w:pPr>
        <w:ind w:firstLine="480"/>
        <w:rPr>
          <w:rFonts w:ascii="宋体" w:hAnsi="宋体" w:cs="宋体"/>
          <w:kern w:val="0"/>
        </w:rPr>
      </w:pPr>
    </w:p>
    <w:p w14:paraId="5156DEB3">
      <w:pPr>
        <w:ind w:firstLine="480"/>
        <w:rPr>
          <w:rFonts w:ascii="宋体" w:hAnsi="宋体" w:cs="宋体"/>
          <w:kern w:val="0"/>
        </w:rPr>
      </w:pPr>
    </w:p>
    <w:p w14:paraId="0CAA4742">
      <w:pPr>
        <w:ind w:firstLine="480"/>
        <w:rPr>
          <w:rFonts w:ascii="宋体" w:hAnsi="宋体" w:cs="宋体"/>
          <w:kern w:val="0"/>
        </w:rPr>
      </w:pPr>
    </w:p>
    <w:p w14:paraId="7B7C545D">
      <w:pPr>
        <w:ind w:firstLine="480"/>
        <w:rPr>
          <w:rFonts w:ascii="宋体" w:hAnsi="宋体" w:cs="宋体"/>
          <w:kern w:val="0"/>
        </w:rPr>
      </w:pPr>
    </w:p>
    <w:p w14:paraId="6BBD6620">
      <w:pPr>
        <w:ind w:firstLine="480"/>
        <w:rPr>
          <w:rFonts w:ascii="宋体" w:hAnsi="宋体" w:cs="宋体"/>
          <w:kern w:val="0"/>
        </w:rPr>
      </w:pPr>
    </w:p>
    <w:p w14:paraId="5C03BAA8">
      <w:pPr>
        <w:ind w:firstLine="480"/>
        <w:rPr>
          <w:rFonts w:ascii="宋体" w:hAnsi="宋体" w:cs="宋体"/>
          <w:kern w:val="0"/>
        </w:rPr>
      </w:pPr>
    </w:p>
    <w:p w14:paraId="161CA191">
      <w:pPr>
        <w:ind w:firstLine="480"/>
        <w:rPr>
          <w:rFonts w:ascii="宋体" w:hAnsi="宋体" w:cs="宋体"/>
          <w:kern w:val="0"/>
        </w:rPr>
      </w:pPr>
    </w:p>
    <w:p w14:paraId="636EE5AE">
      <w:pPr>
        <w:ind w:firstLine="480"/>
        <w:rPr>
          <w:rFonts w:ascii="宋体" w:hAnsi="宋体" w:cs="宋体"/>
          <w:kern w:val="0"/>
        </w:rPr>
      </w:pPr>
    </w:p>
    <w:p w14:paraId="306E3248">
      <w:pPr>
        <w:ind w:firstLine="480"/>
        <w:rPr>
          <w:rFonts w:ascii="宋体" w:hAnsi="宋体" w:cs="宋体"/>
          <w:kern w:val="0"/>
        </w:rPr>
      </w:pPr>
    </w:p>
    <w:p w14:paraId="0E8BC77B">
      <w:pPr>
        <w:ind w:firstLine="480"/>
        <w:rPr>
          <w:rFonts w:ascii="宋体" w:hAnsi="宋体" w:cs="宋体"/>
          <w:kern w:val="0"/>
        </w:rPr>
      </w:pPr>
    </w:p>
    <w:p w14:paraId="23706C90">
      <w:pPr>
        <w:ind w:firstLine="480"/>
        <w:rPr>
          <w:rFonts w:ascii="宋体" w:hAnsi="宋体" w:cs="宋体"/>
          <w:kern w:val="0"/>
        </w:rPr>
      </w:pPr>
    </w:p>
    <w:p w14:paraId="2B01909A">
      <w:pPr>
        <w:ind w:firstLine="480"/>
        <w:rPr>
          <w:rFonts w:ascii="宋体" w:hAnsi="宋体" w:cs="宋体"/>
          <w:kern w:val="0"/>
        </w:rPr>
      </w:pPr>
    </w:p>
    <w:p w14:paraId="1AD61148">
      <w:pPr>
        <w:ind w:firstLine="480"/>
        <w:rPr>
          <w:rFonts w:ascii="宋体" w:hAnsi="宋体" w:cs="宋体"/>
          <w:kern w:val="0"/>
        </w:rPr>
      </w:pPr>
    </w:p>
    <w:p w14:paraId="44B2E74E">
      <w:pPr>
        <w:ind w:firstLine="480"/>
        <w:rPr>
          <w:rFonts w:ascii="宋体" w:hAnsi="宋体" w:cs="宋体"/>
          <w:kern w:val="0"/>
        </w:rPr>
      </w:pPr>
    </w:p>
    <w:p w14:paraId="26EBA627">
      <w:pPr>
        <w:ind w:firstLine="480"/>
        <w:rPr>
          <w:rFonts w:ascii="宋体" w:hAnsi="宋体" w:cs="宋体"/>
          <w:kern w:val="0"/>
        </w:rPr>
      </w:pPr>
    </w:p>
    <w:p w14:paraId="761537F0">
      <w:pPr>
        <w:ind w:firstLine="480"/>
        <w:rPr>
          <w:rFonts w:ascii="宋体" w:hAnsi="宋体" w:cs="宋体"/>
          <w:kern w:val="0"/>
        </w:rPr>
      </w:pPr>
    </w:p>
    <w:p w14:paraId="270FE3C8">
      <w:pPr>
        <w:ind w:firstLine="480"/>
        <w:rPr>
          <w:rFonts w:ascii="宋体" w:hAnsi="宋体" w:cs="宋体"/>
          <w:kern w:val="0"/>
        </w:rPr>
      </w:pPr>
    </w:p>
    <w:p w14:paraId="27A23138">
      <w:pPr>
        <w:ind w:firstLine="480"/>
        <w:rPr>
          <w:rFonts w:ascii="宋体" w:hAnsi="宋体" w:cs="宋体"/>
          <w:kern w:val="0"/>
        </w:rPr>
      </w:pPr>
    </w:p>
    <w:p w14:paraId="144708B7">
      <w:pPr>
        <w:ind w:firstLine="480"/>
        <w:rPr>
          <w:rFonts w:ascii="宋体" w:hAnsi="宋体" w:cs="宋体"/>
          <w:kern w:val="0"/>
        </w:rPr>
      </w:pPr>
    </w:p>
    <w:p w14:paraId="04260005">
      <w:pPr>
        <w:ind w:firstLine="0" w:firstLineChars="0"/>
        <w:rPr>
          <w:rFonts w:ascii="宋体" w:hAnsi="宋体" w:cs="宋体"/>
          <w:kern w:val="0"/>
        </w:rPr>
      </w:pPr>
    </w:p>
    <w:p w14:paraId="40DB6162">
      <w:pPr>
        <w:spacing w:before="163" w:beforeLines="50" w:after="163" w:afterLines="50"/>
        <w:ind w:firstLine="0" w:firstLineChars="0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目  录</w:t>
      </w:r>
    </w:p>
    <w:p w14:paraId="3B33D4D4">
      <w:pPr>
        <w:pStyle w:val="12"/>
        <w:tabs>
          <w:tab w:val="right" w:leader="dot" w:pos="8306"/>
        </w:tabs>
        <w:ind w:firstLine="560"/>
        <w:rPr>
          <w:rFonts w:hint="eastAsia"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8"/>
          <w:szCs w:val="28"/>
        </w:rPr>
        <w:fldChar w:fldCharType="begin"/>
      </w:r>
      <w:r>
        <w:rPr>
          <w:rFonts w:hint="eastAsia" w:ascii="宋体" w:hAnsi="宋体" w:cs="宋体"/>
          <w:sz w:val="28"/>
          <w:szCs w:val="28"/>
        </w:rPr>
        <w:instrText xml:space="preserve">TOC \o "1-2" \h \u </w:instrText>
      </w:r>
      <w:r>
        <w:rPr>
          <w:rFonts w:hint="eastAsia" w:ascii="宋体" w:hAnsi="宋体" w:cs="宋体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"_Toc13955" </w:instrText>
      </w:r>
      <w:r>
        <w:fldChar w:fldCharType="separate"/>
      </w:r>
      <w:r>
        <w:rPr>
          <w:rFonts w:hint="eastAsia" w:ascii="宋体" w:hAnsi="宋体" w:cs="宋体"/>
          <w:sz w:val="21"/>
          <w:szCs w:val="21"/>
        </w:rPr>
        <w:t>1 运维监控管理工具列表</w:t>
      </w:r>
      <w:r>
        <w:rPr>
          <w:rFonts w:hint="eastAsia" w:ascii="宋体" w:hAnsi="宋体" w:cs="宋体"/>
          <w:sz w:val="21"/>
          <w:szCs w:val="21"/>
        </w:rPr>
        <w:tab/>
      </w:r>
      <w:r>
        <w:rPr>
          <w:rFonts w:hint="eastAsia" w:ascii="宋体" w:hAnsi="宋体" w:cs="宋体"/>
          <w:sz w:val="21"/>
          <w:szCs w:val="21"/>
        </w:rPr>
        <w:fldChar w:fldCharType="begin"/>
      </w:r>
      <w:r>
        <w:rPr>
          <w:rFonts w:hint="eastAsia" w:ascii="宋体" w:hAnsi="宋体" w:cs="宋体"/>
          <w:sz w:val="21"/>
          <w:szCs w:val="21"/>
        </w:rPr>
        <w:instrText xml:space="preserve"> PAGEREF _Toc13955 \h </w:instrText>
      </w:r>
      <w:r>
        <w:rPr>
          <w:rFonts w:hint="eastAsia" w:ascii="宋体" w:hAnsi="宋体" w:cs="宋体"/>
          <w:sz w:val="21"/>
          <w:szCs w:val="21"/>
        </w:rPr>
        <w:fldChar w:fldCharType="separate"/>
      </w:r>
      <w:r>
        <w:rPr>
          <w:rFonts w:hint="eastAsia" w:ascii="宋体" w:hAnsi="宋体" w:cs="宋体"/>
          <w:sz w:val="21"/>
          <w:szCs w:val="21"/>
        </w:rPr>
        <w:t>4</w:t>
      </w:r>
      <w:r>
        <w:rPr>
          <w:rFonts w:hint="eastAsia" w:ascii="宋体" w:hAnsi="宋体" w:cs="宋体"/>
          <w:sz w:val="21"/>
          <w:szCs w:val="21"/>
        </w:rPr>
        <w:fldChar w:fldCharType="end"/>
      </w:r>
      <w:r>
        <w:rPr>
          <w:rFonts w:hint="eastAsia" w:ascii="宋体" w:hAnsi="宋体" w:cs="宋体"/>
          <w:sz w:val="21"/>
          <w:szCs w:val="21"/>
        </w:rPr>
        <w:fldChar w:fldCharType="end"/>
      </w:r>
    </w:p>
    <w:p w14:paraId="4E7895E4">
      <w:pPr>
        <w:pStyle w:val="12"/>
        <w:tabs>
          <w:tab w:val="right" w:leader="dot" w:pos="8306"/>
        </w:tabs>
        <w:ind w:firstLine="420"/>
        <w:rPr>
          <w:rFonts w:hint="eastAsia" w:ascii="宋体" w:hAnsi="宋体" w:cs="宋体"/>
          <w:sz w:val="21"/>
          <w:szCs w:val="21"/>
        </w:rPr>
      </w:pPr>
      <w:r>
        <w:fldChar w:fldCharType="begin"/>
      </w:r>
      <w:r>
        <w:instrText xml:space="preserve"> HYPERLINK \l "_Toc3029" </w:instrText>
      </w:r>
      <w:r>
        <w:fldChar w:fldCharType="separate"/>
      </w:r>
      <w:r>
        <w:rPr>
          <w:rFonts w:hint="eastAsia" w:ascii="宋体" w:hAnsi="宋体" w:cs="宋体"/>
          <w:sz w:val="21"/>
          <w:szCs w:val="21"/>
        </w:rPr>
        <w:t>2 工具主要功能介绍</w:t>
      </w:r>
      <w:r>
        <w:rPr>
          <w:rFonts w:hint="eastAsia" w:ascii="宋体" w:hAnsi="宋体" w:cs="宋体"/>
          <w:sz w:val="21"/>
          <w:szCs w:val="21"/>
        </w:rPr>
        <w:tab/>
      </w:r>
      <w:r>
        <w:rPr>
          <w:rFonts w:hint="eastAsia" w:ascii="宋体" w:hAnsi="宋体" w:cs="宋体"/>
          <w:sz w:val="21"/>
          <w:szCs w:val="21"/>
        </w:rPr>
        <w:fldChar w:fldCharType="begin"/>
      </w:r>
      <w:r>
        <w:rPr>
          <w:rFonts w:hint="eastAsia" w:ascii="宋体" w:hAnsi="宋体" w:cs="宋体"/>
          <w:sz w:val="21"/>
          <w:szCs w:val="21"/>
        </w:rPr>
        <w:instrText xml:space="preserve"> PAGEREF _Toc3029 \h </w:instrText>
      </w:r>
      <w:r>
        <w:rPr>
          <w:rFonts w:hint="eastAsia" w:ascii="宋体" w:hAnsi="宋体" w:cs="宋体"/>
          <w:sz w:val="21"/>
          <w:szCs w:val="21"/>
        </w:rPr>
        <w:fldChar w:fldCharType="separate"/>
      </w:r>
      <w:r>
        <w:rPr>
          <w:rFonts w:hint="eastAsia" w:ascii="宋体" w:hAnsi="宋体" w:cs="宋体"/>
          <w:sz w:val="21"/>
          <w:szCs w:val="21"/>
        </w:rPr>
        <w:t>4</w:t>
      </w:r>
      <w:r>
        <w:rPr>
          <w:rFonts w:hint="eastAsia" w:ascii="宋体" w:hAnsi="宋体" w:cs="宋体"/>
          <w:sz w:val="21"/>
          <w:szCs w:val="21"/>
        </w:rPr>
        <w:fldChar w:fldCharType="end"/>
      </w:r>
      <w:r>
        <w:rPr>
          <w:rFonts w:hint="eastAsia" w:ascii="宋体" w:hAnsi="宋体" w:cs="宋体"/>
          <w:sz w:val="21"/>
          <w:szCs w:val="21"/>
        </w:rPr>
        <w:fldChar w:fldCharType="end"/>
      </w:r>
    </w:p>
    <w:p w14:paraId="031B339C">
      <w:pPr>
        <w:pStyle w:val="12"/>
        <w:tabs>
          <w:tab w:val="right" w:leader="dot" w:pos="8306"/>
        </w:tabs>
        <w:ind w:firstLine="420"/>
        <w:rPr>
          <w:rFonts w:hint="eastAsia" w:ascii="宋体" w:hAnsi="宋体" w:cs="宋体"/>
          <w:sz w:val="21"/>
          <w:szCs w:val="21"/>
        </w:rPr>
      </w:pPr>
      <w:r>
        <w:fldChar w:fldCharType="begin"/>
      </w:r>
      <w:r>
        <w:instrText xml:space="preserve"> HYPERLINK \l "_Toc29018" </w:instrText>
      </w:r>
      <w:r>
        <w:fldChar w:fldCharType="separate"/>
      </w:r>
      <w:r>
        <w:rPr>
          <w:rFonts w:hint="eastAsia" w:ascii="宋体" w:hAnsi="宋体" w:cs="宋体"/>
          <w:sz w:val="21"/>
          <w:szCs w:val="21"/>
        </w:rPr>
        <w:t>3 使用情况说明</w:t>
      </w:r>
      <w:r>
        <w:rPr>
          <w:rFonts w:hint="eastAsia" w:ascii="宋体" w:hAnsi="宋体" w:cs="宋体"/>
          <w:sz w:val="21"/>
          <w:szCs w:val="21"/>
        </w:rPr>
        <w:tab/>
      </w:r>
      <w:r>
        <w:rPr>
          <w:rFonts w:hint="eastAsia" w:ascii="宋体" w:hAnsi="宋体" w:cs="宋体"/>
          <w:sz w:val="21"/>
          <w:szCs w:val="21"/>
        </w:rPr>
        <w:t>8</w:t>
      </w:r>
      <w:r>
        <w:rPr>
          <w:rFonts w:hint="eastAsia" w:ascii="宋体" w:hAnsi="宋体" w:cs="宋体"/>
          <w:sz w:val="21"/>
          <w:szCs w:val="21"/>
        </w:rPr>
        <w:fldChar w:fldCharType="end"/>
      </w:r>
    </w:p>
    <w:p w14:paraId="45978ABD">
      <w:pPr>
        <w:pStyle w:val="12"/>
        <w:tabs>
          <w:tab w:val="right" w:leader="dot" w:pos="8306"/>
        </w:tabs>
        <w:ind w:firstLine="420"/>
        <w:rPr>
          <w:rFonts w:hint="eastAsia" w:ascii="宋体" w:hAnsi="宋体" w:cs="宋体"/>
          <w:sz w:val="21"/>
          <w:szCs w:val="21"/>
        </w:rPr>
      </w:pPr>
      <w:r>
        <w:fldChar w:fldCharType="begin"/>
      </w:r>
      <w:r>
        <w:instrText xml:space="preserve"> HYPERLINK \l "_Toc21962" </w:instrText>
      </w:r>
      <w:r>
        <w:fldChar w:fldCharType="separate"/>
      </w:r>
      <w:r>
        <w:rPr>
          <w:rFonts w:hint="eastAsia" w:ascii="宋体" w:hAnsi="宋体" w:cs="宋体"/>
          <w:sz w:val="21"/>
          <w:szCs w:val="21"/>
        </w:rPr>
        <w:t>4 使用效果评价：</w:t>
      </w:r>
      <w:r>
        <w:rPr>
          <w:rFonts w:hint="eastAsia" w:ascii="宋体" w:hAnsi="宋体" w:cs="宋体"/>
          <w:sz w:val="21"/>
          <w:szCs w:val="21"/>
        </w:rPr>
        <w:tab/>
      </w:r>
      <w:r>
        <w:rPr>
          <w:rFonts w:hint="eastAsia" w:ascii="宋体" w:hAnsi="宋体" w:cs="宋体"/>
          <w:sz w:val="21"/>
          <w:szCs w:val="21"/>
        </w:rPr>
        <w:t>9</w:t>
      </w:r>
      <w:r>
        <w:rPr>
          <w:rFonts w:hint="eastAsia" w:ascii="宋体" w:hAnsi="宋体" w:cs="宋体"/>
          <w:sz w:val="21"/>
          <w:szCs w:val="21"/>
        </w:rPr>
        <w:fldChar w:fldCharType="end"/>
      </w:r>
    </w:p>
    <w:p w14:paraId="61B24ECD">
      <w:pPr>
        <w:pStyle w:val="12"/>
        <w:tabs>
          <w:tab w:val="right" w:leader="dot" w:pos="8306"/>
        </w:tabs>
        <w:ind w:firstLine="420"/>
      </w:pPr>
      <w:r>
        <w:fldChar w:fldCharType="begin"/>
      </w:r>
      <w:r>
        <w:instrText xml:space="preserve"> HYPERLINK \l "_Toc26043" </w:instrText>
      </w:r>
      <w:r>
        <w:fldChar w:fldCharType="separate"/>
      </w:r>
      <w:r>
        <w:rPr>
          <w:rFonts w:hint="eastAsia" w:ascii="宋体" w:hAnsi="宋体" w:cs="宋体"/>
          <w:sz w:val="21"/>
          <w:szCs w:val="21"/>
        </w:rPr>
        <w:t>5 下一步规划</w:t>
      </w:r>
      <w:r>
        <w:rPr>
          <w:rFonts w:hint="eastAsia" w:ascii="宋体" w:hAnsi="宋体" w:cs="宋体"/>
          <w:sz w:val="21"/>
          <w:szCs w:val="21"/>
        </w:rPr>
        <w:tab/>
      </w:r>
      <w:r>
        <w:rPr>
          <w:rFonts w:hint="eastAsia" w:ascii="宋体" w:hAnsi="宋体" w:cs="宋体"/>
          <w:sz w:val="21"/>
          <w:szCs w:val="21"/>
        </w:rPr>
        <w:t>9</w:t>
      </w:r>
      <w:r>
        <w:rPr>
          <w:rFonts w:hint="eastAsia" w:ascii="宋体" w:hAnsi="宋体" w:cs="宋体"/>
          <w:sz w:val="21"/>
          <w:szCs w:val="21"/>
        </w:rPr>
        <w:fldChar w:fldCharType="end"/>
      </w:r>
    </w:p>
    <w:p w14:paraId="1085ECA9">
      <w:pPr>
        <w:widowControl/>
        <w:adjustRightInd/>
        <w:snapToGrid/>
        <w:spacing w:before="163" w:beforeLines="50" w:after="163" w:afterLines="50" w:line="400" w:lineRule="exact"/>
        <w:ind w:firstLine="0" w:firstLineChars="0"/>
        <w:rPr>
          <w:rFonts w:hint="eastAsia" w:ascii="宋体" w:hAnsi="宋体" w:cs="宋体"/>
          <w:kern w:val="0"/>
        </w:rPr>
      </w:pPr>
      <w:r>
        <w:rPr>
          <w:rFonts w:hint="eastAsia" w:ascii="宋体" w:hAnsi="宋体" w:cs="宋体"/>
          <w:kern w:val="0"/>
          <w:szCs w:val="28"/>
        </w:rPr>
        <w:fldChar w:fldCharType="end"/>
      </w:r>
    </w:p>
    <w:p w14:paraId="7CD4CF3B">
      <w:pPr>
        <w:spacing w:line="240" w:lineRule="atLeast"/>
        <w:ind w:firstLine="465" w:firstLineChars="0"/>
        <w:rPr>
          <w:rFonts w:hint="eastAsia" w:ascii="宋体" w:hAnsi="宋体" w:cs="宋体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567" w:footer="315" w:gutter="0"/>
          <w:cols w:space="720" w:num="1"/>
          <w:docGrid w:type="lines" w:linePitch="326" w:charSpace="0"/>
        </w:sectPr>
      </w:pPr>
    </w:p>
    <w:p w14:paraId="0B1F0159">
      <w:pPr>
        <w:spacing w:line="240" w:lineRule="atLeast"/>
        <w:ind w:firstLine="465" w:firstLineChars="0"/>
        <w:rPr>
          <w:rFonts w:hint="eastAsia" w:ascii="宋体" w:hAnsi="宋体" w:cs="宋体"/>
        </w:rPr>
      </w:pPr>
    </w:p>
    <w:p w14:paraId="3F837100">
      <w:pPr>
        <w:pStyle w:val="2"/>
        <w:numPr>
          <w:ilvl w:val="0"/>
          <w:numId w:val="3"/>
        </w:numPr>
        <w:spacing w:line="240" w:lineRule="auto"/>
        <w:ind w:left="567" w:hanging="567" w:firstLineChars="0"/>
        <w:rPr>
          <w:rFonts w:hint="eastAsia" w:ascii="宋体" w:hAnsi="宋体" w:cs="宋体"/>
          <w:sz w:val="32"/>
          <w:szCs w:val="32"/>
        </w:rPr>
      </w:pPr>
      <w:bookmarkStart w:id="0" w:name="_Toc13955"/>
      <w:r>
        <w:rPr>
          <w:rFonts w:hint="eastAsia" w:ascii="宋体" w:hAnsi="宋体" w:cs="宋体"/>
          <w:sz w:val="32"/>
          <w:szCs w:val="32"/>
        </w:rPr>
        <w:t>运维监控管理工具</w:t>
      </w:r>
      <w:bookmarkStart w:id="1" w:name="_Toc9821518"/>
      <w:r>
        <w:rPr>
          <w:rFonts w:hint="eastAsia" w:ascii="宋体" w:hAnsi="宋体" w:cs="宋体"/>
          <w:sz w:val="32"/>
          <w:szCs w:val="32"/>
        </w:rPr>
        <w:t>列表</w:t>
      </w:r>
      <w:bookmarkEnd w:id="0"/>
    </w:p>
    <w:bookmarkEnd w:id="1"/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1"/>
        <w:gridCol w:w="2297"/>
        <w:gridCol w:w="2646"/>
      </w:tblGrid>
      <w:tr w14:paraId="0BC0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gridSpan w:val="3"/>
            <w:shd w:val="clear" w:color="auto" w:fill="8DB3E2"/>
            <w:vAlign w:val="center"/>
          </w:tcPr>
          <w:p w14:paraId="3092D349">
            <w:pPr>
              <w:ind w:firstLine="482"/>
              <w:jc w:val="center"/>
              <w:rPr>
                <w:rFonts w:hint="eastAsia" w:ascii="宋体" w:hAnsi="宋体" w:cs="宋体"/>
                <w:b/>
              </w:rPr>
            </w:pPr>
            <w:bookmarkStart w:id="2" w:name="_Toc3370191"/>
            <w:r>
              <w:rPr>
                <w:rFonts w:hint="eastAsia" w:ascii="宋体" w:hAnsi="宋体" w:cs="宋体"/>
                <w:b/>
                <w:color w:val="FFFFFF"/>
              </w:rPr>
              <w:t>过程管理工具</w:t>
            </w:r>
          </w:p>
        </w:tc>
      </w:tr>
      <w:tr w14:paraId="63C43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1" w:type="dxa"/>
            <w:vAlign w:val="center"/>
          </w:tcPr>
          <w:p w14:paraId="6D379138">
            <w:pPr>
              <w:ind w:firstLine="482"/>
              <w:jc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名称</w:t>
            </w:r>
          </w:p>
        </w:tc>
        <w:tc>
          <w:tcPr>
            <w:tcW w:w="2297" w:type="dxa"/>
            <w:vAlign w:val="center"/>
          </w:tcPr>
          <w:p w14:paraId="07CAF0E2">
            <w:pPr>
              <w:ind w:firstLine="0" w:firstLineChars="0"/>
              <w:jc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来源</w:t>
            </w:r>
          </w:p>
        </w:tc>
        <w:tc>
          <w:tcPr>
            <w:tcW w:w="2646" w:type="dxa"/>
            <w:vAlign w:val="center"/>
          </w:tcPr>
          <w:p w14:paraId="0F87B1FF">
            <w:pPr>
              <w:ind w:firstLine="0" w:firstLineChars="0"/>
              <w:jc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功能</w:t>
            </w:r>
          </w:p>
        </w:tc>
      </w:tr>
      <w:tr w14:paraId="43B4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4411" w:type="dxa"/>
            <w:vAlign w:val="center"/>
          </w:tcPr>
          <w:p w14:paraId="798BC4D1">
            <w:pPr>
              <w:ind w:firstLine="480"/>
              <w:jc w:val="center"/>
              <w:rPr>
                <w:rFonts w:ascii="宋体" w:hAnsi="宋体" w:cs="宋体"/>
                <w:color w:val="FF0000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iDRAC监控</w:t>
            </w:r>
            <w:r>
              <w:rPr>
                <w:rFonts w:hint="eastAsia" w:ascii="宋体" w:hAnsi="宋体" w:cs="宋体"/>
              </w:rPr>
              <w:t>平台</w:t>
            </w:r>
          </w:p>
        </w:tc>
        <w:tc>
          <w:tcPr>
            <w:tcW w:w="2297" w:type="dxa"/>
            <w:vAlign w:val="center"/>
          </w:tcPr>
          <w:p w14:paraId="020A7952">
            <w:pPr>
              <w:ind w:firstLine="0" w:firstLineChars="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</w:rPr>
              <w:t>外</w:t>
            </w:r>
            <w:r>
              <w:rPr>
                <w:rFonts w:hint="eastAsia" w:ascii="宋体" w:hAnsi="宋体" w:cs="宋体"/>
                <w:lang w:val="en-US" w:eastAsia="zh-CN"/>
              </w:rPr>
              <w:t>购</w:t>
            </w:r>
          </w:p>
        </w:tc>
        <w:tc>
          <w:tcPr>
            <w:tcW w:w="2646" w:type="dxa"/>
            <w:vAlign w:val="center"/>
          </w:tcPr>
          <w:p w14:paraId="66DCE7C6">
            <w:pPr>
              <w:ind w:firstLine="0" w:firstLineChars="0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监控工具</w:t>
            </w:r>
          </w:p>
        </w:tc>
      </w:tr>
    </w:tbl>
    <w:p w14:paraId="7E652692">
      <w:pPr>
        <w:pStyle w:val="2"/>
        <w:numPr>
          <w:ilvl w:val="0"/>
          <w:numId w:val="3"/>
        </w:numPr>
        <w:spacing w:line="240" w:lineRule="auto"/>
        <w:ind w:left="567" w:hanging="567" w:firstLineChars="0"/>
        <w:rPr>
          <w:rFonts w:hint="eastAsia" w:ascii="宋体" w:hAnsi="宋体" w:cs="宋体"/>
          <w:sz w:val="32"/>
          <w:szCs w:val="32"/>
        </w:rPr>
      </w:pPr>
      <w:bookmarkStart w:id="3" w:name="_Toc525042854"/>
      <w:bookmarkStart w:id="4" w:name="_Toc396432508"/>
      <w:bookmarkStart w:id="5" w:name="_Toc3029"/>
      <w:r>
        <w:rPr>
          <w:rFonts w:hint="eastAsia" w:ascii="宋体" w:hAnsi="宋体" w:cs="宋体"/>
          <w:sz w:val="32"/>
          <w:szCs w:val="32"/>
        </w:rPr>
        <w:t>工具</w:t>
      </w:r>
      <w:bookmarkEnd w:id="2"/>
      <w:bookmarkEnd w:id="3"/>
      <w:bookmarkEnd w:id="4"/>
      <w:r>
        <w:rPr>
          <w:rFonts w:hint="eastAsia" w:ascii="宋体" w:hAnsi="宋体" w:cs="宋体"/>
          <w:sz w:val="32"/>
          <w:szCs w:val="32"/>
        </w:rPr>
        <w:t>主要功能介绍</w:t>
      </w:r>
      <w:bookmarkEnd w:id="5"/>
    </w:p>
    <w:p w14:paraId="0985B2D7">
      <w:pPr>
        <w:ind w:firstLine="480"/>
        <w:rPr>
          <w:rFonts w:hint="eastAsia" w:ascii="宋体" w:hAnsi="宋体" w:cs="宋体"/>
          <w:color w:val="FF0000"/>
        </w:rPr>
      </w:pPr>
      <w:bookmarkStart w:id="6" w:name="_Toc3370193"/>
      <w:bookmarkStart w:id="7" w:name="_Toc525042857"/>
      <w:bookmarkStart w:id="8" w:name="_Toc396432515"/>
      <w:bookmarkStart w:id="9" w:name="_Toc396432514"/>
      <w:r>
        <w:rPr>
          <w:rFonts w:hint="eastAsia" w:ascii="宋体" w:hAnsi="宋体" w:cs="宋体"/>
        </w:rPr>
        <w:t xml:space="preserve">2.1 </w:t>
      </w:r>
      <w:r>
        <w:rPr>
          <w:rFonts w:hint="eastAsia" w:ascii="宋体" w:hAnsi="宋体" w:cs="宋体"/>
          <w:color w:val="FF0000"/>
          <w:lang w:val="en-US" w:eastAsia="zh-CN"/>
        </w:rPr>
        <w:t>iDRAC</w:t>
      </w:r>
      <w:r>
        <w:rPr>
          <w:rFonts w:hint="eastAsia" w:ascii="宋体" w:hAnsi="宋体" w:cs="宋体"/>
          <w:color w:val="FF0000"/>
        </w:rPr>
        <w:t>管理平台，基于指标、链路、日志、事件的全类型监控数据，结合强大的可视化和告警能力，为您提供一体化、智能化监控解决方案。满足您全链路、端到端的统一监控诉求，提高运维排障效率，为业务的健康和稳定保驾护航。</w:t>
      </w:r>
    </w:p>
    <w:p w14:paraId="692AA90F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>iDRAC</w:t>
      </w:r>
      <w:r>
        <w:rPr>
          <w:rFonts w:hint="eastAsia" w:ascii="宋体" w:hAnsi="宋体" w:cs="宋体"/>
        </w:rPr>
        <w:t>管理平台提供全栈监控和可观测能力，主要功能包括：</w:t>
      </w:r>
    </w:p>
    <w:p w14:paraId="2C1620F9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iDRAC（Integrated Dell Remote Access Controller）是戴尔PowerEdge服务器的嵌入式远程管理控制器，提供带外、无代理的全栈监控与可观测能力，核心功能可概括为监控告警、远程管理、固件生命周期、自动化与安全、硬件遥测与可观测五大模块。</w:t>
      </w:r>
    </w:p>
    <w:p w14:paraId="47C5FD35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一、硬件全栈监控与实时可观测（核心）</w:t>
      </w:r>
    </w:p>
    <w:p w14:paraId="630656E2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*无代理健康监控**：CPU、内存、硬盘、RAID控制器、网卡、电源、风扇、温度/电压传感器等组件实时状态与健康度，支持入侵检测。</w:t>
      </w:r>
    </w:p>
    <w:p w14:paraId="5D9DEF8B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*细粒度传感器数据：温度、电压、功耗、风扇转速等实时采集，支持阈值告警与历史趋势。</w:t>
      </w:r>
    </w:p>
    <w:p w14:paraId="7B106B9D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*硬件资产清单：自动发现并导出CPU型号/核心数、内存容量/插槽、硬盘型号/序列号、固件版本等，无需进系统。</w:t>
      </w:r>
    </w:p>
    <w:p w14:paraId="0EBF2433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*预测性故障检测：预警CPU、内存、硬盘等硬件潜在故障，降低非计划停机。</w:t>
      </w:r>
    </w:p>
    <w:p w14:paraId="501F43DF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*高频遥测流（Datacenter版）：iDRAC9/10支持180+监控指标，iDRAC10覆盖24类组件（含GPU/DPU），可流式输出至Splunk/ELK/Dynatrace等AIOps平台，支持自定义报告。</w:t>
      </w:r>
    </w:p>
    <w:p w14:paraId="44594CE2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*带外网络监控：独立管理网口，监控网卡状态、链路、VLAN、流量，远程排查网络故障。</w:t>
      </w:r>
    </w:p>
    <w:p w14:paraId="650EADEB">
      <w:pPr>
        <w:ind w:firstLine="480"/>
        <w:rPr>
          <w:rFonts w:hint="eastAsia" w:ascii="宋体" w:hAnsi="宋体" w:cs="宋体"/>
        </w:rPr>
      </w:pPr>
    </w:p>
    <w:p w14:paraId="5AE52E74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二、远程带外管理</w:t>
      </w:r>
    </w:p>
    <w:p w14:paraId="7EA7AF3A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*远程控制台：虚拟KVM（键盘/视频/鼠标），远程查看服务器屏幕、操作BIOS/OS，支持虚拟介质（ISO/U盘）挂载安装系统。</w:t>
      </w:r>
    </w:p>
    <w:p w14:paraId="3C3AF419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*电源控制：远程开机/关机/重启/强制断电，服务器断电状态下仍可开机。</w:t>
      </w:r>
    </w:p>
    <w:p w14:paraId="2C2A48A2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*BIOS/UEFI配置：远程查看、修改、保存、导入/导出BIOS设置，支持批量配置。</w:t>
      </w:r>
    </w:p>
    <w:p w14:paraId="2F90FEBA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*vFlash虚拟存储：远程挂载SD卡虚拟分区，用于系统部署或数据缓存。</w:t>
      </w:r>
    </w:p>
    <w:p w14:paraId="2ACACED9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三、固件生命周期管理</w:t>
      </w:r>
    </w:p>
    <w:p w14:paraId="75D7B71E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*一键固件更新：iDRAC、BIOS、RAID、网卡、硬盘等固件在线升级，支持单台/批量、计划更新、无需重启更新。</w:t>
      </w:r>
    </w:p>
    <w:p w14:paraId="2FBE7472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*固件回滚与恢复：更新失败时一键回滚至稳定版本，支持iDRAC出厂恢复。</w:t>
      </w:r>
    </w:p>
    <w:p w14:paraId="5D8849E4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*配置文件管理：导出/导入服务器完整配置（BIOS/iDRAC/网络），用于批量部署与配置一致性。</w:t>
      </w:r>
    </w:p>
    <w:p w14:paraId="093895F7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四、自动化与安全合规</w:t>
      </w:r>
    </w:p>
    <w:p w14:paraId="566C75E9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*Redfish/RESTful API：标准化API，兼容Ansible、Python、RACADM等工具，支持大规模自动化管理。</w:t>
      </w:r>
    </w:p>
    <w:p w14:paraId="2D0C7F31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*系统锁定模式：限制未授权修改BIOS/iDRAC/固件，防止配置篡改。</w:t>
      </w:r>
    </w:p>
    <w:p w14:paraId="45852E61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*细粒度权限控制：基于角色的访问（RBAC），支持多用户、操作审计日志、证书认证。</w:t>
      </w:r>
    </w:p>
    <w:p w14:paraId="6FABE3E1">
      <w:pPr>
        <w:ind w:firstLine="480"/>
        <w:rPr>
          <w:rFonts w:hint="eastAsia" w:ascii="宋体" w:hAnsi="宋体" w:cs="宋体"/>
          <w:b w:val="0"/>
          <w:bCs w:val="0"/>
        </w:rPr>
      </w:pPr>
      <w:r>
        <w:rPr>
          <w:rFonts w:hint="eastAsia" w:ascii="宋体" w:hAnsi="宋体" w:cs="宋体"/>
        </w:rPr>
        <w:t>*安全远程访问：HTTPS、SSH、SNMPv3加密传输，支持IP白名单。</w:t>
      </w:r>
      <w:bookmarkStart w:id="18" w:name="_GoBack"/>
      <w:bookmarkEnd w:id="18"/>
    </w:p>
    <w:p w14:paraId="508944A7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五、告警与事件响应</w:t>
      </w:r>
    </w:p>
    <w:p w14:paraId="7C408F38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*多渠道告警：邮件、SNMPv3、Syslog、Webhook，实时推送硬件故障、温度异常、电源故障等告警。</w:t>
      </w:r>
    </w:p>
    <w:p w14:paraId="42EF5E07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*事件日志审计：记录硬件事件、配置变更、用户操作，支持导出与追溯，满足合规要求。</w:t>
      </w:r>
    </w:p>
    <w:p w14:paraId="4D1F0DE0">
      <w:pPr>
        <w:ind w:firstLine="48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*嵌入式SupportAssist：自动收集系统日志与硬件信息，一键提交戴尔技术支持，加速故障定位。</w:t>
      </w:r>
    </w:p>
    <w:p w14:paraId="191CA8CA">
      <w:pPr>
        <w:ind w:firstLine="480"/>
        <w:rPr>
          <w:rFonts w:hint="eastAsia" w:ascii="宋体" w:hAnsi="宋体" w:cs="宋体"/>
        </w:rPr>
      </w:pPr>
    </w:p>
    <w:p w14:paraId="294C97C1">
      <w:pPr>
        <w:ind w:firstLine="480"/>
        <w:rPr>
          <w:rFonts w:hint="eastAsia" w:ascii="宋体" w:hAnsi="宋体" w:cs="宋体"/>
        </w:rPr>
      </w:pPr>
    </w:p>
    <w:p w14:paraId="74E6928B">
      <w:pPr>
        <w:ind w:firstLine="480"/>
        <w:rPr>
          <w:rFonts w:hint="eastAsia" w:ascii="宋体" w:hAnsi="宋体" w:cs="宋体"/>
        </w:rPr>
      </w:pPr>
    </w:p>
    <w:p w14:paraId="7D5DED38">
      <w:pPr>
        <w:ind w:firstLine="480"/>
        <w:rPr>
          <w:rFonts w:hint="eastAsia" w:ascii="宋体" w:hAnsi="宋体" w:cs="宋体"/>
        </w:rPr>
      </w:pPr>
    </w:p>
    <w:p w14:paraId="0A8260AE">
      <w:pPr>
        <w:ind w:firstLine="480"/>
        <w:rPr>
          <w:rFonts w:hint="eastAsia" w:ascii="宋体" w:hAnsi="宋体" w:cs="宋体"/>
        </w:rPr>
      </w:pPr>
    </w:p>
    <w:p w14:paraId="7192E8B1">
      <w:pPr>
        <w:ind w:firstLine="480"/>
        <w:rPr>
          <w:rFonts w:hint="eastAsia" w:ascii="宋体" w:hAnsi="宋体" w:cs="宋体"/>
        </w:rPr>
      </w:pPr>
    </w:p>
    <w:p w14:paraId="4B3EB6DC">
      <w:pPr>
        <w:ind w:firstLine="480"/>
        <w:rPr>
          <w:rFonts w:hint="eastAsia" w:ascii="宋体" w:hAnsi="宋体" w:cs="宋体"/>
        </w:rPr>
      </w:pPr>
    </w:p>
    <w:p w14:paraId="68DDBCE5">
      <w:pPr>
        <w:ind w:firstLine="480"/>
        <w:rPr>
          <w:rFonts w:hint="eastAsia" w:ascii="宋体" w:hAnsi="宋体" w:cs="宋体"/>
        </w:rPr>
      </w:pPr>
    </w:p>
    <w:bookmarkEnd w:id="6"/>
    <w:bookmarkEnd w:id="7"/>
    <w:bookmarkEnd w:id="8"/>
    <w:p w14:paraId="07C3CFA0">
      <w:pPr>
        <w:autoSpaceDE w:val="0"/>
        <w:autoSpaceDN w:val="0"/>
        <w:spacing w:before="120" w:after="120" w:line="240" w:lineRule="auto"/>
        <w:ind w:firstLine="316" w:firstLineChars="132"/>
        <w:jc w:val="left"/>
        <w:outlineLvl w:val="1"/>
        <w:rPr>
          <w:rFonts w:hint="eastAsia" w:ascii="宋体" w:hAnsi="宋体" w:cs="宋体"/>
          <w:bCs/>
        </w:rPr>
      </w:pPr>
      <w:bookmarkStart w:id="10" w:name="_Toc25514"/>
      <w:bookmarkStart w:id="11" w:name="_Toc1792"/>
      <w:r>
        <w:rPr>
          <w:rFonts w:hint="eastAsia" w:ascii="宋体" w:hAnsi="宋体" w:cs="宋体"/>
          <w:bCs/>
        </w:rPr>
        <w:t>2.2【</w:t>
      </w:r>
      <w:r>
        <w:rPr>
          <w:rFonts w:hint="eastAsia" w:ascii="宋体" w:hAnsi="宋体" w:cs="宋体"/>
          <w:bCs/>
          <w:lang w:val="en-US" w:eastAsia="zh-CN"/>
        </w:rPr>
        <w:t>XX监控</w:t>
      </w:r>
      <w:r>
        <w:rPr>
          <w:rFonts w:hint="eastAsia" w:ascii="宋体" w:hAnsi="宋体" w:cs="宋体"/>
        </w:rPr>
        <w:t>平台</w:t>
      </w:r>
      <w:r>
        <w:rPr>
          <w:rFonts w:hint="eastAsia" w:ascii="宋体" w:hAnsi="宋体" w:cs="宋体"/>
          <w:bCs/>
        </w:rPr>
        <w:t>】</w:t>
      </w:r>
      <w:bookmarkEnd w:id="10"/>
      <w:r>
        <w:rPr>
          <w:rFonts w:hint="eastAsia" w:ascii="宋体" w:hAnsi="宋体" w:cs="宋体"/>
          <w:bCs/>
        </w:rPr>
        <w:t>主要功能截图</w:t>
      </w:r>
      <w:bookmarkEnd w:id="11"/>
    </w:p>
    <w:p w14:paraId="7E00DBF4">
      <w:pPr>
        <w:autoSpaceDE w:val="0"/>
        <w:autoSpaceDN w:val="0"/>
        <w:spacing w:before="120" w:after="120" w:line="240" w:lineRule="auto"/>
        <w:ind w:firstLine="316" w:firstLineChars="132"/>
        <w:jc w:val="left"/>
        <w:outlineLvl w:val="1"/>
        <w:rPr>
          <w:rFonts w:hint="eastAsia" w:ascii="宋体" w:hAnsi="宋体" w:eastAsia="宋体" w:cs="宋体"/>
          <w:bCs/>
          <w:lang w:val="en-US" w:eastAsia="zh-CN"/>
        </w:rPr>
      </w:pPr>
    </w:p>
    <w:p w14:paraId="198A342A">
      <w:pPr>
        <w:pStyle w:val="8"/>
        <w:spacing w:before="336"/>
        <w:ind w:left="621"/>
        <w:rPr>
          <w:rFonts w:hint="eastAsia"/>
          <w:color w:val="FF0000"/>
          <w:spacing w:val="-3"/>
          <w:lang w:val="en-US" w:eastAsia="zh-CN"/>
        </w:rPr>
      </w:pPr>
      <w:bookmarkStart w:id="12" w:name="_Toc9015"/>
      <w:r>
        <w:rPr>
          <w:rFonts w:hint="eastAsia"/>
          <w:color w:val="FF0000"/>
          <w:spacing w:val="-3"/>
          <w:lang w:val="en-US" w:eastAsia="zh-CN"/>
        </w:rPr>
        <w:t>2.2.1  Dashboard</w:t>
      </w:r>
    </w:p>
    <w:p w14:paraId="66962B7C">
      <w:p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核心作用是一站式全局总览 + 快速操作入口，把最关键的健康、告警、性能、日志与常用控制项集中呈现，实现 “一眼看清服务器状态、一键执行高频操作”。</w:t>
      </w:r>
    </w:p>
    <w:p w14:paraId="0FB3B29F">
      <w:pPr>
        <w:pStyle w:val="8"/>
        <w:spacing w:before="336"/>
        <w:ind w:left="621"/>
      </w:pPr>
      <w:r>
        <w:drawing>
          <wp:inline distT="0" distB="0" distL="114300" distR="114300">
            <wp:extent cx="4999990" cy="242189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37A0">
      <w:pPr>
        <w:pStyle w:val="8"/>
        <w:spacing w:before="336"/>
        <w:ind w:left="621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FF0000"/>
          <w:spacing w:val="-3"/>
          <w:lang w:val="en-US" w:eastAsia="zh-CN"/>
        </w:rPr>
        <w:t xml:space="preserve">2.2.2  </w:t>
      </w:r>
      <w:r>
        <w:rPr>
          <w:rFonts w:ascii="宋体" w:hAnsi="宋体" w:eastAsia="宋体" w:cs="宋体"/>
          <w:sz w:val="24"/>
          <w:szCs w:val="24"/>
        </w:rPr>
        <w:t>System</w:t>
      </w:r>
    </w:p>
    <w:p w14:paraId="34588796">
      <w:pPr>
        <w:bidi w:val="0"/>
        <w:spacing w:line="240" w:lineRule="auto"/>
        <w:ind w:left="0" w:leftChars="0" w:firstLine="482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System</w:t>
      </w:r>
      <w:r>
        <w:rPr>
          <w:rFonts w:hint="eastAsia"/>
          <w:b/>
          <w:bCs/>
          <w:lang w:val="en-US" w:eastAsia="zh-CN"/>
        </w:rPr>
        <w:t>-</w:t>
      </w:r>
      <w:r>
        <w:rPr>
          <w:rFonts w:hint="eastAsia"/>
          <w:b/>
          <w:bCs/>
        </w:rPr>
        <w:t>Overview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</w:rPr>
        <w:t>核心是</w:t>
      </w:r>
      <w:r>
        <w:rPr>
          <w:rFonts w:hint="eastAsia"/>
          <w:b/>
          <w:bCs/>
          <w:lang w:val="en-US" w:eastAsia="zh-CN"/>
        </w:rPr>
        <w:t>检测</w:t>
      </w:r>
      <w:r>
        <w:rPr>
          <w:rFonts w:hint="eastAsia"/>
          <w:b/>
          <w:bCs/>
        </w:rPr>
        <w:t>服务器硬件的健康状态与基础信息。</w:t>
      </w:r>
    </w:p>
    <w:p w14:paraId="43FD58BD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Summary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硬件健康摘要，汇总所有组件的一键视图</w:t>
      </w:r>
      <w:r>
        <w:rPr>
          <w:rFonts w:hint="eastAsia"/>
          <w:sz w:val="21"/>
          <w:szCs w:val="21"/>
          <w:lang w:eastAsia="zh-CN"/>
        </w:rPr>
        <w:t>；</w:t>
      </w:r>
    </w:p>
    <w:p w14:paraId="4B0064A8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Batteries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RAID 控制器电池状态（掉电时保护缓存数据）</w:t>
      </w:r>
      <w:r>
        <w:rPr>
          <w:rFonts w:hint="eastAsia"/>
          <w:sz w:val="21"/>
          <w:szCs w:val="21"/>
          <w:lang w:eastAsia="zh-CN"/>
        </w:rPr>
        <w:t>；</w:t>
      </w:r>
    </w:p>
    <w:p w14:paraId="2C595E70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Cooling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风扇转速、温度传感器、散热策略状态</w:t>
      </w:r>
      <w:r>
        <w:rPr>
          <w:rFonts w:hint="eastAsia"/>
          <w:sz w:val="21"/>
          <w:szCs w:val="21"/>
          <w:lang w:eastAsia="zh-CN"/>
        </w:rPr>
        <w:t>；</w:t>
      </w:r>
    </w:p>
    <w:p w14:paraId="519C3660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CPU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处理器型号、核心数、频率、温度、状态</w:t>
      </w:r>
      <w:r>
        <w:rPr>
          <w:rFonts w:hint="eastAsia"/>
          <w:sz w:val="21"/>
          <w:szCs w:val="21"/>
          <w:lang w:eastAsia="zh-CN"/>
        </w:rPr>
        <w:t>；</w:t>
      </w:r>
    </w:p>
    <w:p w14:paraId="700E2E13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Front Panel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前面板 LCD/LED 显示和按钮状态</w:t>
      </w:r>
      <w:r>
        <w:rPr>
          <w:rFonts w:hint="eastAsia"/>
          <w:sz w:val="21"/>
          <w:szCs w:val="21"/>
          <w:lang w:eastAsia="zh-CN"/>
        </w:rPr>
        <w:t>；</w:t>
      </w:r>
    </w:p>
    <w:p w14:paraId="007EBEFF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Accelerators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GPU / FPGA 等加速卡状态（R7525 支持多个 GPU）</w:t>
      </w:r>
      <w:r>
        <w:rPr>
          <w:rFonts w:hint="eastAsia"/>
          <w:sz w:val="21"/>
          <w:szCs w:val="21"/>
          <w:lang w:eastAsia="zh-CN"/>
        </w:rPr>
        <w:t>；</w:t>
      </w:r>
    </w:p>
    <w:p w14:paraId="6923338A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Intrusion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机箱入侵检测开关（物理安全防护）</w:t>
      </w:r>
      <w:r>
        <w:rPr>
          <w:rFonts w:hint="eastAsia"/>
          <w:sz w:val="21"/>
          <w:szCs w:val="21"/>
          <w:lang w:eastAsia="zh-CN"/>
        </w:rPr>
        <w:t>；</w:t>
      </w:r>
    </w:p>
    <w:p w14:paraId="50FE28C0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Memory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DIMM 内存条明细、容量、频率、ECC 错误计数</w:t>
      </w:r>
      <w:r>
        <w:rPr>
          <w:rFonts w:hint="eastAsia"/>
          <w:sz w:val="21"/>
          <w:szCs w:val="21"/>
          <w:lang w:eastAsia="zh-CN"/>
        </w:rPr>
        <w:t>；</w:t>
      </w:r>
    </w:p>
    <w:p w14:paraId="59665F45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Network Devices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所有网卡端口状态、MAC 地址、协商速率</w:t>
      </w:r>
      <w:r>
        <w:rPr>
          <w:rFonts w:hint="eastAsia"/>
          <w:sz w:val="21"/>
          <w:szCs w:val="21"/>
          <w:lang w:eastAsia="zh-CN"/>
        </w:rPr>
        <w:t>；</w:t>
      </w:r>
    </w:p>
    <w:p w14:paraId="52469ED0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Power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电源模块功率、冗余状态、输入电压</w:t>
      </w:r>
      <w:r>
        <w:rPr>
          <w:rFonts w:hint="eastAsia"/>
          <w:sz w:val="21"/>
          <w:szCs w:val="21"/>
          <w:lang w:eastAsia="zh-CN"/>
        </w:rPr>
        <w:t>；</w:t>
      </w:r>
    </w:p>
    <w:p w14:paraId="7015B450">
      <w:pPr>
        <w:bidi w:val="0"/>
        <w:spacing w:line="240" w:lineRule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Voltages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主板各电压轨实时读数（3.3V/5V/12V 等）</w:t>
      </w:r>
      <w:r>
        <w:rPr>
          <w:rFonts w:hint="eastAsia"/>
          <w:sz w:val="21"/>
          <w:szCs w:val="21"/>
          <w:lang w:eastAsia="zh-CN"/>
        </w:rPr>
        <w:t>；</w:t>
      </w:r>
    </w:p>
    <w:p w14:paraId="1CA419C0">
      <w:pPr>
        <w:bidi w:val="0"/>
        <w:spacing w:line="240" w:lineRule="auto"/>
        <w:rPr>
          <w:rFonts w:hint="eastAsia" w:eastAsia="宋体"/>
          <w:lang w:eastAsia="zh-CN"/>
        </w:rPr>
      </w:pPr>
      <w:r>
        <w:rPr>
          <w:rFonts w:hint="eastAsia"/>
          <w:sz w:val="21"/>
          <w:szCs w:val="21"/>
        </w:rPr>
        <w:t>PCIe Slots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PCIe 插槽占用情况、链路速率、宽度</w:t>
      </w:r>
      <w:r>
        <w:rPr>
          <w:rFonts w:hint="eastAsia"/>
          <w:sz w:val="21"/>
          <w:szCs w:val="21"/>
          <w:lang w:eastAsia="zh-CN"/>
        </w:rPr>
        <w:t>。</w:t>
      </w:r>
    </w:p>
    <w:p w14:paraId="3AE33AAA">
      <w:pPr>
        <w:pStyle w:val="8"/>
        <w:spacing w:before="336"/>
        <w:ind w:left="621"/>
      </w:pPr>
      <w:r>
        <w:drawing>
          <wp:inline distT="0" distB="0" distL="114300" distR="114300">
            <wp:extent cx="4968875" cy="1952625"/>
            <wp:effectExtent l="0" t="0" r="952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0C00">
      <w:pPr>
        <w:pStyle w:val="8"/>
        <w:spacing w:before="336"/>
        <w:ind w:left="621"/>
      </w:pPr>
      <w:r>
        <w:drawing>
          <wp:inline distT="0" distB="0" distL="114300" distR="114300">
            <wp:extent cx="4954270" cy="1965325"/>
            <wp:effectExtent l="0" t="0" r="1143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B2B6">
      <w:pPr>
        <w:pStyle w:val="8"/>
        <w:spacing w:before="336"/>
        <w:ind w:left="621"/>
      </w:pPr>
      <w:r>
        <w:drawing>
          <wp:inline distT="0" distB="0" distL="114300" distR="114300">
            <wp:extent cx="4804410" cy="1905635"/>
            <wp:effectExtent l="0" t="0" r="8890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57A1">
      <w:pPr>
        <w:bidi w:val="0"/>
        <w:spacing w:line="240" w:lineRule="auto"/>
      </w:pPr>
      <w:r>
        <w:rPr>
          <w:rFonts w:hint="eastAsia"/>
          <w:b/>
          <w:bCs/>
        </w:rPr>
        <w:t xml:space="preserve">System </w:t>
      </w:r>
      <w:r>
        <w:rPr>
          <w:rFonts w:hint="eastAsia"/>
          <w:b/>
          <w:bCs/>
          <w:lang w:val="en-US" w:eastAsia="zh-CN"/>
        </w:rPr>
        <w:t xml:space="preserve">- </w:t>
      </w:r>
      <w:r>
        <w:rPr>
          <w:rFonts w:hint="eastAsia"/>
          <w:b/>
          <w:bCs/>
        </w:rPr>
        <w:t xml:space="preserve">Details </w:t>
      </w:r>
      <w:r>
        <w:rPr>
          <w:rFonts w:hint="eastAsia"/>
        </w:rPr>
        <w:t>是服务器的 “硬件档案详情页”，它和之前的 Overview（健康概览）不同，不再是状态卡片，而是把服务器、iDRAC 和资产信息做了结构化的深度呈现，方便你核对配置、排查问题和资产管理。</w:t>
      </w:r>
    </w:p>
    <w:p w14:paraId="4A7F03F7">
      <w:pPr>
        <w:pStyle w:val="8"/>
        <w:spacing w:before="336"/>
        <w:ind w:left="621"/>
      </w:pPr>
      <w:r>
        <w:drawing>
          <wp:inline distT="0" distB="0" distL="114300" distR="114300">
            <wp:extent cx="4856480" cy="1910715"/>
            <wp:effectExtent l="0" t="0" r="7620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F40C">
      <w:pPr>
        <w:pStyle w:val="8"/>
        <w:spacing w:before="336"/>
        <w:ind w:left="621"/>
      </w:pPr>
      <w:r>
        <w:drawing>
          <wp:inline distT="0" distB="0" distL="114300" distR="114300">
            <wp:extent cx="4697730" cy="1861185"/>
            <wp:effectExtent l="0" t="0" r="1270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B849">
      <w:pPr>
        <w:bidi w:val="0"/>
        <w:rPr>
          <w:rFonts w:hint="eastAsia"/>
        </w:rPr>
      </w:pPr>
      <w:r>
        <w:rPr>
          <w:rFonts w:hint="eastAsia"/>
          <w:b/>
          <w:bCs/>
        </w:rPr>
        <w:t xml:space="preserve">System </w:t>
      </w:r>
      <w:r>
        <w:rPr>
          <w:rFonts w:hint="eastAsia"/>
          <w:b/>
          <w:bCs/>
          <w:lang w:val="en-US" w:eastAsia="zh-CN"/>
        </w:rPr>
        <w:t>-</w:t>
      </w:r>
      <w:r>
        <w:rPr>
          <w:rFonts w:hint="eastAsia"/>
          <w:b/>
          <w:bCs/>
        </w:rPr>
        <w:t xml:space="preserve"> Inventory </w:t>
      </w:r>
      <w:r>
        <w:rPr>
          <w:rFonts w:hint="eastAsia"/>
        </w:rPr>
        <w:t>是服务器的硬件与固件 “完整台账”，它的核心作用是：</w:t>
      </w:r>
    </w:p>
    <w:p w14:paraId="6E32FAC6">
      <w:pPr>
        <w:bidi w:val="0"/>
        <w:rPr>
          <w:rFonts w:hint="eastAsia" w:eastAsia="宋体"/>
          <w:sz w:val="21"/>
          <w:szCs w:val="21"/>
          <w:lang w:eastAsia="zh-CN"/>
        </w:rPr>
      </w:pPr>
      <w:r>
        <w:rPr>
          <w:rFonts w:hint="default" w:ascii="Calibri" w:hAnsi="Calibri" w:cs="Calibri"/>
          <w:sz w:val="21"/>
          <w:szCs w:val="21"/>
        </w:rPr>
        <w:t>①</w:t>
      </w:r>
      <w:r>
        <w:rPr>
          <w:rFonts w:hint="eastAsia"/>
          <w:sz w:val="21"/>
          <w:szCs w:val="21"/>
        </w:rPr>
        <w:t>一次性获取服务器所有硬件组件的型号、规格、序列号</w:t>
      </w:r>
      <w:r>
        <w:rPr>
          <w:rFonts w:hint="eastAsia"/>
          <w:sz w:val="21"/>
          <w:szCs w:val="21"/>
          <w:lang w:eastAsia="zh-CN"/>
        </w:rPr>
        <w:t>；</w:t>
      </w:r>
    </w:p>
    <w:p w14:paraId="3412023C">
      <w:pPr>
        <w:bidi w:val="0"/>
        <w:rPr>
          <w:rFonts w:hint="eastAsia" w:eastAsia="宋体"/>
          <w:sz w:val="21"/>
          <w:szCs w:val="21"/>
          <w:lang w:eastAsia="zh-CN"/>
        </w:rPr>
      </w:pPr>
      <w:r>
        <w:rPr>
          <w:rFonts w:hint="default" w:ascii="Calibri" w:hAnsi="Calibri" w:cs="Calibri"/>
          <w:sz w:val="21"/>
          <w:szCs w:val="21"/>
        </w:rPr>
        <w:t>②</w:t>
      </w:r>
      <w:r>
        <w:rPr>
          <w:rFonts w:hint="eastAsia"/>
          <w:sz w:val="21"/>
          <w:szCs w:val="21"/>
        </w:rPr>
        <w:t>集中查看所有固件版本，为批量升级、兼容性检查提供依据</w:t>
      </w:r>
      <w:r>
        <w:rPr>
          <w:rFonts w:hint="eastAsia"/>
          <w:sz w:val="21"/>
          <w:szCs w:val="21"/>
          <w:lang w:eastAsia="zh-CN"/>
        </w:rPr>
        <w:t>；</w:t>
      </w:r>
    </w:p>
    <w:p w14:paraId="395185FD">
      <w:pPr>
        <w:bidi w:val="0"/>
        <w:rPr>
          <w:rFonts w:hint="eastAsia" w:eastAsia="宋体"/>
          <w:lang w:eastAsia="zh-CN"/>
        </w:rPr>
      </w:pPr>
      <w:r>
        <w:rPr>
          <w:rFonts w:hint="default" w:ascii="Calibri" w:hAnsi="Calibri" w:cs="Calibri"/>
          <w:sz w:val="21"/>
          <w:szCs w:val="21"/>
        </w:rPr>
        <w:t>③</w:t>
      </w:r>
      <w:r>
        <w:rPr>
          <w:rFonts w:hint="eastAsia"/>
          <w:sz w:val="21"/>
          <w:szCs w:val="21"/>
        </w:rPr>
        <w:t>支持导出完整清单，用于 CMDB 资产盘点、合规审计和故障排查</w:t>
      </w:r>
      <w:r>
        <w:rPr>
          <w:rFonts w:hint="eastAsia"/>
          <w:sz w:val="21"/>
          <w:szCs w:val="21"/>
          <w:lang w:eastAsia="zh-CN"/>
        </w:rPr>
        <w:t>。</w:t>
      </w:r>
    </w:p>
    <w:p w14:paraId="4A8A94F4">
      <w:pPr>
        <w:pStyle w:val="8"/>
        <w:spacing w:before="336"/>
        <w:ind w:left="621"/>
      </w:pPr>
      <w:r>
        <w:drawing>
          <wp:inline distT="0" distB="0" distL="114300" distR="114300">
            <wp:extent cx="4738370" cy="1888490"/>
            <wp:effectExtent l="0" t="0" r="11430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9E52">
      <w:pPr>
        <w:bidi w:val="0"/>
      </w:pPr>
      <w:r>
        <w:rPr>
          <w:rFonts w:hint="eastAsia"/>
          <w:b/>
          <w:bCs/>
        </w:rPr>
        <w:t>System</w:t>
      </w:r>
      <w:r>
        <w:rPr>
          <w:rFonts w:hint="eastAsia"/>
          <w:b/>
          <w:bCs/>
          <w:lang w:val="en-US" w:eastAsia="zh-CN"/>
        </w:rPr>
        <w:t xml:space="preserve"> -</w:t>
      </w:r>
      <w:r>
        <w:rPr>
          <w:rFonts w:hint="eastAsia"/>
          <w:b/>
          <w:bCs/>
        </w:rPr>
        <w:t xml:space="preserve"> Performance</w:t>
      </w:r>
      <w:r>
        <w:rPr>
          <w:rFonts w:hint="eastAsia"/>
        </w:rPr>
        <w:t xml:space="preserve"> 是带外性能监控中心，无需依赖宿主机 OS 或代理，就能实时采集并展示 CPU、内存等核心资源的利用率、历史趋势和峰值数据，是排查性能瓶颈、评估负载压力的关键工具。</w:t>
      </w:r>
    </w:p>
    <w:p w14:paraId="79B31B22">
      <w:pPr>
        <w:pStyle w:val="8"/>
        <w:spacing w:before="336"/>
        <w:ind w:left="621"/>
      </w:pPr>
      <w:r>
        <w:drawing>
          <wp:inline distT="0" distB="0" distL="114300" distR="114300">
            <wp:extent cx="4926330" cy="1962785"/>
            <wp:effectExtent l="0" t="0" r="127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C2D3">
      <w:pPr>
        <w:bidi w:val="0"/>
        <w:rPr>
          <w:rFonts w:hint="eastAsia"/>
        </w:rPr>
      </w:pPr>
      <w:r>
        <w:rPr>
          <w:rFonts w:hint="eastAsia"/>
        </w:rPr>
        <w:t xml:space="preserve"> </w:t>
      </w:r>
    </w:p>
    <w:p w14:paraId="4F94EA58">
      <w:pPr>
        <w:bidi w:val="0"/>
        <w:rPr>
          <w:rFonts w:hint="eastAsia"/>
        </w:rPr>
      </w:pPr>
    </w:p>
    <w:p w14:paraId="253BA1BD">
      <w:pPr>
        <w:bidi w:val="0"/>
        <w:rPr>
          <w:rFonts w:hint="eastAsia"/>
        </w:rPr>
      </w:pPr>
    </w:p>
    <w:p w14:paraId="4F1D48F3">
      <w:pPr>
        <w:bidi w:val="0"/>
        <w:rPr>
          <w:rFonts w:hint="eastAsia"/>
        </w:rPr>
      </w:pPr>
    </w:p>
    <w:p w14:paraId="42500E26">
      <w:pPr>
        <w:bidi w:val="0"/>
        <w:rPr>
          <w:rFonts w:hint="eastAsia"/>
        </w:rPr>
      </w:pPr>
    </w:p>
    <w:p w14:paraId="2E5767B5">
      <w:pPr>
        <w:bidi w:val="0"/>
        <w:rPr>
          <w:rFonts w:hint="eastAsia"/>
        </w:rPr>
      </w:pPr>
    </w:p>
    <w:p w14:paraId="76407F27">
      <w:pPr>
        <w:bidi w:val="0"/>
        <w:rPr>
          <w:rFonts w:hint="eastAsia"/>
        </w:rPr>
      </w:pPr>
    </w:p>
    <w:p w14:paraId="104F229B">
      <w:pPr>
        <w:bidi w:val="0"/>
        <w:rPr>
          <w:rFonts w:hint="eastAsia"/>
        </w:rPr>
      </w:pPr>
    </w:p>
    <w:p w14:paraId="01761479">
      <w:pPr>
        <w:bidi w:val="0"/>
        <w:rPr>
          <w:rFonts w:hint="eastAsia"/>
        </w:rPr>
      </w:pPr>
    </w:p>
    <w:p w14:paraId="2D42A907">
      <w:pPr>
        <w:bidi w:val="0"/>
        <w:rPr>
          <w:rFonts w:hint="eastAsia"/>
        </w:rPr>
      </w:pPr>
    </w:p>
    <w:p w14:paraId="536F7F46">
      <w:pPr>
        <w:bidi w:val="0"/>
        <w:rPr>
          <w:rFonts w:hint="eastAsia"/>
        </w:rPr>
      </w:pPr>
    </w:p>
    <w:p w14:paraId="69740661">
      <w:pPr>
        <w:bidi w:val="0"/>
      </w:pPr>
      <w:r>
        <w:rPr>
          <w:rFonts w:hint="eastAsia"/>
          <w:b/>
          <w:bCs/>
        </w:rPr>
        <w:t xml:space="preserve">System </w:t>
      </w:r>
      <w:r>
        <w:rPr>
          <w:rFonts w:hint="eastAsia"/>
          <w:b/>
          <w:bCs/>
          <w:lang w:val="en-US" w:eastAsia="zh-CN"/>
        </w:rPr>
        <w:t>-</w:t>
      </w:r>
      <w:r>
        <w:rPr>
          <w:rFonts w:hint="eastAsia"/>
          <w:b/>
          <w:bCs/>
        </w:rPr>
        <w:t xml:space="preserve"> Host OS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核心作用是带外获取宿主机操作系统的网络接口状态，能直观看到所有网卡的状态、类型，辅助排查网络问题。</w:t>
      </w:r>
    </w:p>
    <w:p w14:paraId="04A274EE">
      <w:pPr>
        <w:pStyle w:val="8"/>
        <w:spacing w:before="336"/>
        <w:ind w:left="621"/>
      </w:pPr>
      <w:r>
        <w:drawing>
          <wp:inline distT="0" distB="0" distL="114300" distR="114300">
            <wp:extent cx="4927600" cy="1948815"/>
            <wp:effectExtent l="0" t="0" r="0" b="698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4C0E">
      <w:pPr>
        <w:pStyle w:val="8"/>
        <w:spacing w:before="336"/>
        <w:ind w:left="62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2.2.3 </w:t>
      </w:r>
      <w:r>
        <w:rPr>
          <w:rFonts w:hint="default"/>
          <w:lang w:val="en-US" w:eastAsia="zh-CN"/>
        </w:rPr>
        <w:t>Storage</w:t>
      </w:r>
    </w:p>
    <w:p w14:paraId="3F5C8A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Storage 模块是戴尔 PowerEdge 服务器的带外存储管理入口，无需登录宿主机系统，就能管理 RAID 控制器、物理硬盘、虚拟磁盘（RAID 卷）和磁盘柜，是存储健康监控、RAID 配置、故障排查的核心工具。</w:t>
      </w:r>
    </w:p>
    <w:p w14:paraId="619BC5C9">
      <w:pPr>
        <w:pStyle w:val="8"/>
        <w:spacing w:before="336"/>
        <w:ind w:left="621"/>
      </w:pPr>
      <w:r>
        <w:drawing>
          <wp:inline distT="0" distB="0" distL="114300" distR="114300">
            <wp:extent cx="4918075" cy="1953895"/>
            <wp:effectExtent l="0" t="0" r="9525" b="19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8402">
      <w:pPr>
        <w:pStyle w:val="8"/>
        <w:spacing w:before="336"/>
        <w:ind w:left="621"/>
      </w:pPr>
      <w:r>
        <w:drawing>
          <wp:inline distT="0" distB="0" distL="114300" distR="114300">
            <wp:extent cx="5131435" cy="2027555"/>
            <wp:effectExtent l="0" t="0" r="12065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64A3">
      <w:pPr>
        <w:pStyle w:val="8"/>
        <w:spacing w:before="336"/>
        <w:ind w:left="621"/>
      </w:pPr>
      <w:r>
        <w:drawing>
          <wp:inline distT="0" distB="0" distL="114300" distR="114300">
            <wp:extent cx="4776470" cy="1892300"/>
            <wp:effectExtent l="0" t="0" r="1143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5ABA">
      <w:pPr>
        <w:pStyle w:val="8"/>
        <w:spacing w:before="336"/>
        <w:ind w:left="621"/>
      </w:pPr>
      <w:r>
        <w:drawing>
          <wp:inline distT="0" distB="0" distL="114300" distR="114300">
            <wp:extent cx="4784090" cy="1900555"/>
            <wp:effectExtent l="0" t="0" r="3810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5BCD">
      <w:pPr>
        <w:pStyle w:val="8"/>
        <w:spacing w:before="336"/>
        <w:ind w:left="621"/>
      </w:pPr>
      <w:r>
        <w:drawing>
          <wp:inline distT="0" distB="0" distL="114300" distR="114300">
            <wp:extent cx="5456555" cy="2160270"/>
            <wp:effectExtent l="0" t="0" r="4445" b="1143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F5EA">
      <w:pPr>
        <w:pStyle w:val="8"/>
        <w:spacing w:before="336"/>
        <w:ind w:left="621"/>
      </w:pPr>
    </w:p>
    <w:p w14:paraId="79C45522">
      <w:pPr>
        <w:bidi w:val="0"/>
      </w:pPr>
      <w:r>
        <w:rPr>
          <w:rFonts w:hint="eastAsia"/>
          <w:b/>
          <w:bCs/>
        </w:rPr>
        <w:t xml:space="preserve">Storage </w:t>
      </w:r>
      <w:r>
        <w:rPr>
          <w:rFonts w:hint="eastAsia"/>
          <w:b/>
          <w:bCs/>
          <w:lang w:val="en-US" w:eastAsia="zh-CN"/>
        </w:rPr>
        <w:t>-</w:t>
      </w:r>
      <w:r>
        <w:rPr>
          <w:rFonts w:hint="eastAsia"/>
          <w:b/>
          <w:bCs/>
        </w:rPr>
        <w:t xml:space="preserve"> Tasks </w:t>
      </w:r>
      <w:r>
        <w:rPr>
          <w:rFonts w:hint="eastAsia"/>
        </w:rPr>
        <w:t>模块的核心作用是管理所有存储相关的配置任务，包括创建 / 修改 RAID、初始化虚拟磁盘、更换硬盘重建 RAID 等，支持立即执行、重启后执行或定时执行，是带外管理存储的 “操作控制台”。</w:t>
      </w:r>
    </w:p>
    <w:p w14:paraId="3F5925EB">
      <w:pPr>
        <w:pStyle w:val="8"/>
        <w:spacing w:before="336"/>
        <w:ind w:left="621"/>
      </w:pPr>
      <w:r>
        <w:drawing>
          <wp:inline distT="0" distB="0" distL="114300" distR="114300">
            <wp:extent cx="5451475" cy="2152650"/>
            <wp:effectExtent l="0" t="0" r="9525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9A84">
      <w:pPr>
        <w:pStyle w:val="8"/>
        <w:spacing w:before="336"/>
        <w:ind w:left="6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2.2.4 Configuration</w:t>
      </w:r>
    </w:p>
    <w:p w14:paraId="6C4B20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Power Management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模块的核心作用是远程控制服务器电源状态，并通过策略限制功耗，实现带外开关机、重启和精细化功耗管控，是数据中心电力成本优化与服务器远程运维的关键工具。</w:t>
      </w:r>
    </w:p>
    <w:p w14:paraId="154ADC6B">
      <w:pPr>
        <w:pStyle w:val="8"/>
        <w:spacing w:before="336"/>
        <w:ind w:left="621"/>
      </w:pPr>
      <w:r>
        <w:drawing>
          <wp:inline distT="0" distB="0" distL="114300" distR="114300">
            <wp:extent cx="5043805" cy="1995805"/>
            <wp:effectExtent l="0" t="0" r="10795" b="1079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7781">
      <w:pPr>
        <w:bidi w:val="0"/>
        <w:rPr>
          <w:rFonts w:hint="eastAsia"/>
          <w:lang w:eastAsia="zh-CN"/>
        </w:rPr>
      </w:pPr>
      <w:r>
        <w:rPr>
          <w:rFonts w:hint="eastAsia"/>
        </w:rPr>
        <w:t>Virtual Console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远程 KVM 控制台，用于操作服务器 BIOS / 系统</w:t>
      </w:r>
      <w:r>
        <w:rPr>
          <w:rFonts w:hint="eastAsia"/>
          <w:lang w:eastAsia="zh-CN"/>
        </w:rPr>
        <w:t>。</w:t>
      </w:r>
    </w:p>
    <w:p w14:paraId="580A1DF6">
      <w:pPr>
        <w:pStyle w:val="8"/>
        <w:spacing w:before="336"/>
        <w:ind w:left="621"/>
      </w:pPr>
      <w:r>
        <w:drawing>
          <wp:inline distT="0" distB="0" distL="114300" distR="114300">
            <wp:extent cx="5050155" cy="1995170"/>
            <wp:effectExtent l="0" t="0" r="4445" b="1143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20B4">
      <w:pPr>
        <w:bidi w:val="0"/>
        <w:rPr>
          <w:rFonts w:hint="eastAsia"/>
        </w:rPr>
      </w:pPr>
    </w:p>
    <w:p w14:paraId="1B9CC7EA">
      <w:pPr>
        <w:bidi w:val="0"/>
        <w:rPr>
          <w:rFonts w:hint="eastAsia"/>
        </w:rPr>
      </w:pPr>
    </w:p>
    <w:p w14:paraId="774FB525">
      <w:pPr>
        <w:bidi w:val="0"/>
        <w:rPr>
          <w:rFonts w:hint="eastAsia"/>
        </w:rPr>
      </w:pPr>
    </w:p>
    <w:p w14:paraId="79ED25E9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Virtual Media挂载虚拟光盘 / U 盘，用于系统安装或维护</w:t>
      </w:r>
      <w:r>
        <w:rPr>
          <w:rFonts w:hint="eastAsia"/>
          <w:lang w:eastAsia="zh-CN"/>
        </w:rPr>
        <w:t>。</w:t>
      </w:r>
    </w:p>
    <w:p w14:paraId="071FC69C">
      <w:pPr>
        <w:pStyle w:val="8"/>
        <w:spacing w:before="336"/>
        <w:ind w:left="621"/>
      </w:pPr>
      <w:r>
        <w:drawing>
          <wp:inline distT="0" distB="0" distL="114300" distR="114300">
            <wp:extent cx="5335905" cy="2110740"/>
            <wp:effectExtent l="0" t="0" r="10795" b="1016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609B">
      <w:pPr>
        <w:bidi w:val="0"/>
      </w:pPr>
      <w:r>
        <w:rPr>
          <w:rFonts w:hint="eastAsia"/>
        </w:rPr>
        <w:t>Licenses：iDRAC 许可证管理</w:t>
      </w:r>
    </w:p>
    <w:p w14:paraId="019E62AD">
      <w:pPr>
        <w:pStyle w:val="8"/>
        <w:spacing w:before="336"/>
        <w:ind w:left="621"/>
      </w:pPr>
      <w:r>
        <w:drawing>
          <wp:inline distT="0" distB="0" distL="114300" distR="114300">
            <wp:extent cx="5416550" cy="2149475"/>
            <wp:effectExtent l="0" t="0" r="6350" b="952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4713">
      <w:pPr>
        <w:bidi w:val="0"/>
      </w:pPr>
      <w:r>
        <w:rPr>
          <w:rFonts w:hint="eastAsia"/>
        </w:rPr>
        <w:t>System Settings：系统级配置（如启动顺序）</w:t>
      </w:r>
    </w:p>
    <w:p w14:paraId="21C26E6B">
      <w:pPr>
        <w:pStyle w:val="8"/>
        <w:spacing w:before="336"/>
        <w:ind w:left="621"/>
      </w:pPr>
      <w:r>
        <w:drawing>
          <wp:inline distT="0" distB="0" distL="114300" distR="114300">
            <wp:extent cx="5443855" cy="2149475"/>
            <wp:effectExtent l="0" t="0" r="4445" b="952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32D0">
      <w:pPr>
        <w:pStyle w:val="8"/>
        <w:spacing w:before="336"/>
        <w:ind w:left="621"/>
      </w:pPr>
    </w:p>
    <w:p w14:paraId="719B57F5">
      <w:pPr>
        <w:pStyle w:val="8"/>
        <w:spacing w:before="336"/>
        <w:ind w:left="621"/>
      </w:pPr>
    </w:p>
    <w:p w14:paraId="73A0E9DF">
      <w:pPr>
        <w:bidi w:val="0"/>
      </w:pPr>
      <w:r>
        <w:rPr>
          <w:rFonts w:hint="eastAsia"/>
        </w:rPr>
        <w:t xml:space="preserve">Asset Tracking </w:t>
      </w:r>
      <w:r>
        <w:rPr>
          <w:rFonts w:hint="eastAsia"/>
          <w:lang w:eastAsia="zh-CN"/>
        </w:rPr>
        <w:t>：</w:t>
      </w:r>
      <w:r>
        <w:rPr>
          <w:rFonts w:hint="eastAsia"/>
        </w:rPr>
        <w:t>用于在 iDRAC 中录入和维护服务器的自定义资产信息，方便数据中心对设备进行统一台账管理、成本核算和全生命周期跟踪。这些信息会被存储在服务器的非易失性存储中，即使更换硬盘或重装系统也不会丢失。</w:t>
      </w:r>
    </w:p>
    <w:p w14:paraId="20392432">
      <w:pPr>
        <w:pStyle w:val="8"/>
        <w:spacing w:before="336"/>
        <w:ind w:left="621"/>
      </w:pPr>
      <w:r>
        <w:drawing>
          <wp:inline distT="0" distB="0" distL="114300" distR="114300">
            <wp:extent cx="4934585" cy="1946275"/>
            <wp:effectExtent l="0" t="0" r="5715" b="952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745C">
      <w:pPr>
        <w:bidi w:val="0"/>
        <w:rPr>
          <w:rFonts w:hint="eastAsia"/>
        </w:rPr>
      </w:pPr>
    </w:p>
    <w:p w14:paraId="5A4BDB35">
      <w:pPr>
        <w:bidi w:val="0"/>
      </w:pPr>
      <w:r>
        <w:rPr>
          <w:rFonts w:hint="eastAsia"/>
        </w:rPr>
        <w:t>BIOS Settings：BIOS/UEFI 参数配置</w:t>
      </w:r>
    </w:p>
    <w:p w14:paraId="36C650C1">
      <w:pPr>
        <w:pStyle w:val="8"/>
        <w:spacing w:before="336"/>
        <w:ind w:left="621"/>
      </w:pPr>
      <w:r>
        <w:drawing>
          <wp:inline distT="0" distB="0" distL="114300" distR="114300">
            <wp:extent cx="5589905" cy="2221230"/>
            <wp:effectExtent l="0" t="0" r="10795" b="127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6EB9">
      <w:pPr>
        <w:bidi w:val="0"/>
        <w:rPr>
          <w:rFonts w:hint="eastAsia"/>
        </w:rPr>
      </w:pPr>
    </w:p>
    <w:p w14:paraId="6510F152">
      <w:pPr>
        <w:bidi w:val="0"/>
      </w:pPr>
      <w:r>
        <w:rPr>
          <w:rFonts w:hint="eastAsia"/>
        </w:rPr>
        <w:t>Server Configuration Profile：服务器配置的导入 / 导出，用于批量部署</w:t>
      </w:r>
    </w:p>
    <w:p w14:paraId="4EACE392">
      <w:pPr>
        <w:pStyle w:val="8"/>
        <w:spacing w:before="336"/>
        <w:ind w:left="621"/>
      </w:pPr>
      <w:r>
        <w:drawing>
          <wp:inline distT="0" distB="0" distL="114300" distR="114300">
            <wp:extent cx="5633085" cy="2224405"/>
            <wp:effectExtent l="0" t="0" r="5715" b="1079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858B">
      <w:pPr>
        <w:pStyle w:val="8"/>
        <w:spacing w:before="336"/>
        <w:ind w:left="6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2.2.5 Maintenance</w:t>
      </w:r>
    </w:p>
    <w:p w14:paraId="5A7D66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Lifecycle Log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记录了服务器从开机、配置、登录、告警到故障的所有关键事件，是运维排查问题、追溯配置变更和安全审计的核心依据。它独立于操作系统，存储在 iDRAC 控制器中，即使系统崩溃也能完整保留。</w:t>
      </w:r>
    </w:p>
    <w:p w14:paraId="17203408">
      <w:pPr>
        <w:pStyle w:val="8"/>
        <w:spacing w:before="336"/>
        <w:ind w:left="621"/>
      </w:pPr>
      <w:r>
        <w:drawing>
          <wp:inline distT="0" distB="0" distL="114300" distR="114300">
            <wp:extent cx="5479415" cy="2162175"/>
            <wp:effectExtent l="0" t="0" r="6985" b="952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2DFA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Job Queue</w:t>
      </w:r>
      <w:r>
        <w:rPr>
          <w:rFonts w:hint="eastAsia"/>
          <w:lang w:eastAsia="zh-CN"/>
        </w:rPr>
        <w:t>：</w:t>
      </w:r>
      <w:r>
        <w:rPr>
          <w:rFonts w:hint="eastAsia"/>
        </w:rPr>
        <w:t>查看所有后台任务（固件更新、RAID 重建、配置应用等）的进度、状态和日志，可取消或重试失败任务</w:t>
      </w:r>
      <w:r>
        <w:rPr>
          <w:rFonts w:hint="eastAsia"/>
          <w:lang w:eastAsia="zh-CN"/>
        </w:rPr>
        <w:t>。</w:t>
      </w:r>
    </w:p>
    <w:p w14:paraId="1D240FDD">
      <w:pPr>
        <w:pStyle w:val="8"/>
        <w:spacing w:before="336"/>
        <w:ind w:left="621"/>
      </w:pPr>
      <w:r>
        <w:drawing>
          <wp:inline distT="0" distB="0" distL="114300" distR="114300">
            <wp:extent cx="5053965" cy="1991360"/>
            <wp:effectExtent l="0" t="0" r="635" b="254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9D00">
      <w:pPr>
        <w:bidi w:val="0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</w:rPr>
        <w:t>System Update</w:t>
      </w:r>
      <w:r>
        <w:rPr>
          <w:rFonts w:hint="eastAsia"/>
          <w:lang w:eastAsia="zh-CN"/>
        </w:rPr>
        <w:t>：</w:t>
      </w:r>
      <w:r>
        <w:rPr>
          <w:rFonts w:hint="eastAsia"/>
        </w:rPr>
        <w:t>带外更新服务器固件：iDRAC、BIOS、RAID 控制器、网卡、硬盘等，支持单台 / 批量更新，无需进系统</w:t>
      </w:r>
      <w:r>
        <w:rPr>
          <w:rFonts w:hint="eastAsia"/>
          <w:lang w:eastAsia="zh-CN"/>
        </w:rPr>
        <w:t>。</w:t>
      </w:r>
    </w:p>
    <w:p w14:paraId="233C259B">
      <w:pPr>
        <w:pStyle w:val="8"/>
        <w:spacing w:before="336"/>
        <w:ind w:left="621"/>
      </w:pPr>
      <w:r>
        <w:drawing>
          <wp:inline distT="0" distB="0" distL="114300" distR="114300">
            <wp:extent cx="4496435" cy="1777365"/>
            <wp:effectExtent l="0" t="0" r="12065" b="63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5020">
      <w:pPr>
        <w:bidi w:val="0"/>
        <w:rPr>
          <w:rFonts w:hint="eastAsia"/>
          <w:lang w:eastAsia="zh-CN"/>
        </w:rPr>
      </w:pPr>
      <w:r>
        <w:rPr>
          <w:rFonts w:hint="eastAsia"/>
        </w:rPr>
        <w:t>System Event Log (SEL)</w:t>
      </w:r>
      <w:r>
        <w:rPr>
          <w:rFonts w:hint="eastAsia"/>
        </w:rPr>
        <w:tab/>
      </w:r>
      <w:r>
        <w:rPr>
          <w:rFonts w:hint="eastAsia"/>
          <w:lang w:eastAsia="zh-CN"/>
        </w:rPr>
        <w:t>：</w:t>
      </w:r>
      <w:r>
        <w:rPr>
          <w:rFonts w:hint="eastAsia"/>
        </w:rPr>
        <w:t>硬件级事件日志，记录 CPU、内存、电源、风扇等硬件的告警和故障，是硬件故障排查的核心依据</w:t>
      </w:r>
      <w:r>
        <w:rPr>
          <w:rFonts w:hint="eastAsia"/>
          <w:lang w:eastAsia="zh-CN"/>
        </w:rPr>
        <w:t>。</w:t>
      </w:r>
    </w:p>
    <w:p w14:paraId="150EDEA6">
      <w:pPr>
        <w:pStyle w:val="8"/>
        <w:spacing w:before="336"/>
        <w:ind w:left="621"/>
      </w:pPr>
      <w:r>
        <w:drawing>
          <wp:inline distT="0" distB="0" distL="114300" distR="114300">
            <wp:extent cx="4469765" cy="1780540"/>
            <wp:effectExtent l="0" t="0" r="635" b="1016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AB4C">
      <w:pPr>
        <w:bidi w:val="0"/>
        <w:rPr>
          <w:rFonts w:hint="eastAsia"/>
          <w:lang w:eastAsia="zh-CN"/>
        </w:rPr>
      </w:pPr>
      <w:r>
        <w:rPr>
          <w:rFonts w:hint="eastAsia"/>
        </w:rPr>
        <w:t>Troubleshooting</w:t>
      </w:r>
      <w:r>
        <w:rPr>
          <w:rFonts w:hint="eastAsia"/>
        </w:rPr>
        <w:tab/>
      </w:r>
      <w:r>
        <w:rPr>
          <w:rFonts w:hint="eastAsia"/>
        </w:rPr>
        <w:t>故障诊断工具：重置 iDRAC、捕获服务器屏幕截图、导出硬件日志、执行 NMI（强制系统崩溃）用于调试</w:t>
      </w:r>
      <w:r>
        <w:rPr>
          <w:rFonts w:hint="eastAsia"/>
          <w:lang w:eastAsia="zh-CN"/>
        </w:rPr>
        <w:t>。</w:t>
      </w:r>
    </w:p>
    <w:p w14:paraId="663F06C6">
      <w:pPr>
        <w:pStyle w:val="8"/>
        <w:spacing w:before="336"/>
        <w:ind w:left="621"/>
      </w:pPr>
      <w:r>
        <w:drawing>
          <wp:inline distT="0" distB="0" distL="114300" distR="114300">
            <wp:extent cx="4491355" cy="1793875"/>
            <wp:effectExtent l="0" t="0" r="4445" b="952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135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77B0">
      <w:pPr>
        <w:pStyle w:val="8"/>
        <w:spacing w:before="336"/>
        <w:ind w:left="621"/>
      </w:pPr>
    </w:p>
    <w:p w14:paraId="4283CD4B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Diagnostics</w:t>
      </w:r>
      <w:r>
        <w:rPr>
          <w:rFonts w:hint="eastAsia"/>
        </w:rPr>
        <w:tab/>
      </w:r>
      <w:r>
        <w:rPr>
          <w:rFonts w:hint="eastAsia"/>
          <w:lang w:eastAsia="zh-CN"/>
        </w:rPr>
        <w:t>：</w:t>
      </w:r>
      <w:r>
        <w:rPr>
          <w:rFonts w:hint="eastAsia"/>
        </w:rPr>
        <w:t>运行硬件诊断程序，对 CPU、内存、硬盘、主板等进行全面健康检测，提前发现潜在硬件故障</w:t>
      </w:r>
      <w:r>
        <w:rPr>
          <w:rFonts w:hint="eastAsia"/>
          <w:lang w:eastAsia="zh-CN"/>
        </w:rPr>
        <w:t>。</w:t>
      </w:r>
    </w:p>
    <w:p w14:paraId="7FAA90D6">
      <w:pPr>
        <w:pStyle w:val="8"/>
        <w:spacing w:before="336"/>
        <w:ind w:left="621"/>
      </w:pPr>
      <w:r>
        <w:drawing>
          <wp:inline distT="0" distB="0" distL="114300" distR="114300">
            <wp:extent cx="4443095" cy="1755775"/>
            <wp:effectExtent l="0" t="0" r="1905" b="9525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1792">
      <w:pPr>
        <w:pStyle w:val="8"/>
        <w:spacing w:before="336"/>
        <w:ind w:left="621"/>
      </w:pPr>
    </w:p>
    <w:p w14:paraId="3968784A">
      <w:pPr>
        <w:bidi w:val="0"/>
        <w:rPr>
          <w:rFonts w:hint="eastAsia"/>
        </w:rPr>
      </w:pPr>
    </w:p>
    <w:p w14:paraId="66BC9A8F">
      <w:pPr>
        <w:bidi w:val="0"/>
        <w:rPr>
          <w:rFonts w:hint="eastAsia"/>
          <w:lang w:eastAsia="zh-CN"/>
        </w:rPr>
      </w:pPr>
      <w:r>
        <w:rPr>
          <w:rFonts w:hint="eastAsia"/>
        </w:rPr>
        <w:t>SupportAssist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一键收集系统日志、硬件信息和配置数据，直接提交给戴尔技术支持，加速故障定位与售后处理</w:t>
      </w:r>
      <w:r>
        <w:rPr>
          <w:rFonts w:hint="eastAsia"/>
          <w:lang w:eastAsia="zh-CN"/>
        </w:rPr>
        <w:t>。</w:t>
      </w:r>
    </w:p>
    <w:p w14:paraId="2DA06AAA">
      <w:pPr>
        <w:pStyle w:val="8"/>
        <w:spacing w:before="336"/>
        <w:ind w:left="621"/>
      </w:pPr>
      <w:r>
        <w:drawing>
          <wp:inline distT="0" distB="0" distL="114300" distR="114300">
            <wp:extent cx="5081905" cy="1999615"/>
            <wp:effectExtent l="0" t="0" r="10795" b="698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8336">
      <w:pPr>
        <w:pStyle w:val="8"/>
        <w:spacing w:before="336"/>
        <w:ind w:left="62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2.2.6 </w:t>
      </w:r>
      <w:r>
        <w:rPr>
          <w:rFonts w:hint="default"/>
          <w:lang w:val="en-US" w:eastAsia="zh-CN"/>
        </w:rPr>
        <w:t>iDRAC Settings</w:t>
      </w:r>
    </w:p>
    <w:p w14:paraId="402ABF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iDRAC Settings 是 iDRAC 控制器的 “系统设置中心”，而 Overview 标签则是控制器自身的状态总览页面，集中展示了硬件、固件、网络、会话等核心信息，是排查 iDRAC 访问问题、核对配置的关键入口。</w:t>
      </w:r>
    </w:p>
    <w:p w14:paraId="23AF4154">
      <w:pPr>
        <w:pStyle w:val="8"/>
        <w:spacing w:before="336"/>
        <w:ind w:left="621"/>
      </w:pPr>
      <w:r>
        <w:drawing>
          <wp:inline distT="0" distB="0" distL="114300" distR="114300">
            <wp:extent cx="4948555" cy="1960245"/>
            <wp:effectExtent l="0" t="0" r="4445" b="825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4042">
      <w:pPr>
        <w:bidi w:val="0"/>
        <w:rPr>
          <w:rFonts w:hint="eastAsia"/>
        </w:rPr>
      </w:pPr>
    </w:p>
    <w:p w14:paraId="60C9139F">
      <w:pPr>
        <w:bidi w:val="0"/>
        <w:rPr>
          <w:rFonts w:hint="eastAsia"/>
          <w:lang w:eastAsia="zh-CN"/>
        </w:rPr>
      </w:pPr>
      <w:r>
        <w:rPr>
          <w:rFonts w:hint="eastAsia"/>
        </w:rPr>
        <w:t>Connectivity：配置网络 IP、端口、VLAN、SNMP 等，管理外部访问方式</w:t>
      </w:r>
      <w:r>
        <w:rPr>
          <w:rFonts w:hint="eastAsia"/>
          <w:lang w:eastAsia="zh-CN"/>
        </w:rPr>
        <w:t>。</w:t>
      </w:r>
    </w:p>
    <w:p w14:paraId="7E056C20">
      <w:pPr>
        <w:pStyle w:val="8"/>
        <w:spacing w:before="336"/>
        <w:ind w:left="621"/>
      </w:pPr>
      <w:r>
        <w:drawing>
          <wp:inline distT="0" distB="0" distL="114300" distR="114300">
            <wp:extent cx="4969510" cy="1969135"/>
            <wp:effectExtent l="0" t="0" r="8890" b="1206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EC38">
      <w:pPr>
        <w:bidi w:val="0"/>
        <w:rPr>
          <w:rFonts w:hint="eastAsia"/>
          <w:lang w:eastAsia="zh-CN"/>
        </w:rPr>
      </w:pPr>
      <w:r>
        <w:rPr>
          <w:rFonts w:hint="eastAsia"/>
        </w:rPr>
        <w:t>Services：启用 / 禁用 Redfish、WS-MAN、虚拟介质、IPMI 等服务</w:t>
      </w:r>
      <w:r>
        <w:rPr>
          <w:rFonts w:hint="eastAsia"/>
          <w:lang w:eastAsia="zh-CN"/>
        </w:rPr>
        <w:t>。</w:t>
      </w:r>
    </w:p>
    <w:p w14:paraId="19E5B13D">
      <w:pPr>
        <w:pStyle w:val="8"/>
        <w:spacing w:before="336"/>
        <w:ind w:left="621"/>
      </w:pPr>
      <w:r>
        <w:drawing>
          <wp:inline distT="0" distB="0" distL="114300" distR="114300">
            <wp:extent cx="5183505" cy="2044700"/>
            <wp:effectExtent l="0" t="0" r="10795" b="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9AD3">
      <w:pPr>
        <w:bidi w:val="0"/>
        <w:rPr>
          <w:rFonts w:hint="eastAsia"/>
        </w:rPr>
      </w:pPr>
    </w:p>
    <w:p w14:paraId="4D857933">
      <w:pPr>
        <w:bidi w:val="0"/>
        <w:rPr>
          <w:rFonts w:hint="eastAsia"/>
          <w:lang w:eastAsia="zh-CN"/>
        </w:rPr>
      </w:pPr>
      <w:r>
        <w:rPr>
          <w:rFonts w:hint="eastAsia"/>
        </w:rPr>
        <w:t>Users：管理 iDRAC 用户账号、权限、密码策略与会话超时</w:t>
      </w:r>
      <w:r>
        <w:rPr>
          <w:rFonts w:hint="eastAsia"/>
          <w:lang w:eastAsia="zh-CN"/>
        </w:rPr>
        <w:t>。</w:t>
      </w:r>
    </w:p>
    <w:p w14:paraId="3AF2F38C">
      <w:pPr>
        <w:pStyle w:val="8"/>
        <w:spacing w:before="336"/>
        <w:ind w:left="621"/>
      </w:pPr>
      <w:r>
        <w:drawing>
          <wp:inline distT="0" distB="0" distL="114300" distR="114300">
            <wp:extent cx="5069205" cy="2145030"/>
            <wp:effectExtent l="0" t="0" r="10795" b="127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9277">
      <w:pPr>
        <w:bidi w:val="0"/>
        <w:rPr>
          <w:rFonts w:hint="eastAsia"/>
        </w:rPr>
      </w:pPr>
    </w:p>
    <w:p w14:paraId="03DEFA5F">
      <w:pPr>
        <w:bidi w:val="0"/>
        <w:rPr>
          <w:rFonts w:hint="eastAsia"/>
          <w:lang w:eastAsia="zh-CN"/>
        </w:rPr>
      </w:pPr>
      <w:r>
        <w:rPr>
          <w:rFonts w:hint="eastAsia"/>
        </w:rPr>
        <w:t>Settings：配置安全策略（IP 白名单、登录锁定）、告警通知、遥测、配置备份与出厂重置</w:t>
      </w:r>
      <w:r>
        <w:rPr>
          <w:rFonts w:hint="eastAsia"/>
          <w:lang w:eastAsia="zh-CN"/>
        </w:rPr>
        <w:t>。</w:t>
      </w:r>
    </w:p>
    <w:p w14:paraId="608B87E8">
      <w:pPr>
        <w:pStyle w:val="8"/>
        <w:spacing w:before="336"/>
        <w:ind w:left="621"/>
        <w:rPr>
          <w:rFonts w:hint="default"/>
          <w:lang w:val="en-US" w:eastAsia="zh-CN"/>
        </w:rPr>
      </w:pPr>
      <w:r>
        <w:drawing>
          <wp:inline distT="0" distB="0" distL="114300" distR="114300">
            <wp:extent cx="5140325" cy="2037080"/>
            <wp:effectExtent l="0" t="0" r="3175" b="762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14:paraId="085B7CD2">
      <w:pPr>
        <w:pStyle w:val="2"/>
        <w:numPr>
          <w:ilvl w:val="0"/>
          <w:numId w:val="3"/>
        </w:numPr>
        <w:spacing w:line="240" w:lineRule="auto"/>
        <w:ind w:left="567" w:hanging="567" w:firstLineChars="0"/>
        <w:rPr>
          <w:rFonts w:hint="eastAsia" w:ascii="宋体" w:hAnsi="宋体" w:cs="宋体"/>
          <w:sz w:val="32"/>
          <w:szCs w:val="32"/>
        </w:rPr>
      </w:pPr>
      <w:bookmarkStart w:id="13" w:name="_Toc29018"/>
      <w:r>
        <w:rPr>
          <w:rFonts w:hint="eastAsia" w:ascii="宋体" w:hAnsi="宋体" w:cs="宋体"/>
          <w:sz w:val="32"/>
          <w:szCs w:val="32"/>
        </w:rPr>
        <w:t>使用情况说明</w:t>
      </w:r>
      <w:bookmarkEnd w:id="13"/>
    </w:p>
    <w:p w14:paraId="38D03D16">
      <w:pPr>
        <w:widowControl/>
        <w:autoSpaceDE w:val="0"/>
        <w:autoSpaceDN w:val="0"/>
        <w:snapToGrid/>
        <w:spacing w:before="163" w:beforeLines="50" w:after="163" w:afterLines="50"/>
        <w:ind w:firstLine="480"/>
        <w:jc w:val="left"/>
      </w:pPr>
      <w:r>
        <w:rPr>
          <w:rFonts w:hint="eastAsia" w:ascii="宋体" w:hAnsi="宋体" w:cs="宋体"/>
          <w:szCs w:val="22"/>
        </w:rPr>
        <w:t>目前，</w:t>
      </w:r>
      <w:r>
        <w:rPr>
          <w:rFonts w:hint="eastAsia"/>
        </w:rPr>
        <w:t>在公司运维服务项目</w:t>
      </w:r>
      <w:r>
        <w:rPr>
          <w:rFonts w:hint="eastAsia"/>
          <w:color w:val="FF0000"/>
        </w:rPr>
        <w:t>《</w:t>
      </w:r>
      <w:r>
        <w:rPr>
          <w:rFonts w:hint="eastAsia"/>
          <w:color w:val="FF0000"/>
          <w:lang w:val="en-US" w:eastAsia="zh-CN"/>
        </w:rPr>
        <w:t>XX</w:t>
      </w:r>
      <w:r>
        <w:rPr>
          <w:rFonts w:hint="eastAsia"/>
          <w:color w:val="FF0000"/>
        </w:rPr>
        <w:t>项目》运</w:t>
      </w:r>
      <w:r>
        <w:rPr>
          <w:rFonts w:hint="eastAsia"/>
        </w:rPr>
        <w:t>维项目中成功使</w:t>
      </w:r>
      <w:r>
        <w:rPr>
          <w:rFonts w:hint="eastAsia"/>
          <w:color w:val="000000"/>
        </w:rPr>
        <w:t>用</w:t>
      </w:r>
      <w:r>
        <w:rPr>
          <w:rFonts w:hint="eastAsia" w:ascii="宋体" w:hAnsi="宋体" w:cs="宋体"/>
          <w:color w:val="000000"/>
        </w:rPr>
        <w:t>云计算管理平台运维监控工具</w:t>
      </w:r>
      <w:r>
        <w:rPr>
          <w:rFonts w:hint="eastAsia"/>
          <w:color w:val="000000"/>
        </w:rPr>
        <w:t>。</w:t>
      </w:r>
    </w:p>
    <w:p w14:paraId="27C442B2">
      <w:pPr>
        <w:pStyle w:val="2"/>
        <w:numPr>
          <w:ilvl w:val="0"/>
          <w:numId w:val="3"/>
        </w:numPr>
        <w:spacing w:line="240" w:lineRule="auto"/>
        <w:ind w:left="567" w:hanging="567" w:firstLineChars="0"/>
        <w:rPr>
          <w:rFonts w:hint="eastAsia" w:ascii="宋体" w:hAnsi="宋体" w:cs="宋体"/>
          <w:sz w:val="36"/>
          <w:szCs w:val="36"/>
        </w:rPr>
      </w:pPr>
      <w:bookmarkStart w:id="14" w:name="_Toc21962"/>
      <w:r>
        <w:rPr>
          <w:rFonts w:hint="eastAsia" w:ascii="宋体" w:hAnsi="宋体" w:cs="宋体"/>
          <w:sz w:val="32"/>
          <w:szCs w:val="32"/>
        </w:rPr>
        <w:t>使用效果评价</w:t>
      </w:r>
      <w:r>
        <w:rPr>
          <w:rFonts w:hint="eastAsia" w:ascii="宋体" w:hAnsi="宋体" w:cs="宋体"/>
          <w:sz w:val="36"/>
          <w:szCs w:val="36"/>
        </w:rPr>
        <w:t>：</w:t>
      </w:r>
      <w:bookmarkEnd w:id="14"/>
    </w:p>
    <w:p w14:paraId="2F3F6801">
      <w:pPr>
        <w:tabs>
          <w:tab w:val="left" w:pos="0"/>
        </w:tabs>
        <w:autoSpaceDE w:val="0"/>
        <w:autoSpaceDN w:val="0"/>
        <w:snapToGrid/>
        <w:spacing w:before="120" w:after="120"/>
        <w:ind w:firstLine="480"/>
        <w:jc w:val="left"/>
        <w:rPr>
          <w:rFonts w:ascii="宋体" w:hAnsi="宋体" w:cs="宋体"/>
          <w:color w:val="FF0000"/>
          <w:szCs w:val="21"/>
          <w:lang w:val="en-GB"/>
        </w:rPr>
      </w:pPr>
      <w:r>
        <w:rPr>
          <w:rFonts w:hint="eastAsia" w:ascii="宋体" w:hAnsi="宋体" w:cs="宋体"/>
          <w:color w:val="FF0000"/>
          <w:kern w:val="0"/>
        </w:rPr>
        <w:t>通过</w:t>
      </w:r>
      <w:r>
        <w:rPr>
          <w:rFonts w:hint="eastAsia" w:ascii="宋体" w:hAnsi="宋体" w:cs="宋体"/>
          <w:color w:val="FF0000"/>
          <w:kern w:val="0"/>
          <w:lang w:val="en-US" w:eastAsia="zh-CN"/>
        </w:rPr>
        <w:t>XXX</w:t>
      </w:r>
      <w:r>
        <w:rPr>
          <w:rFonts w:hint="eastAsia" w:ascii="宋体" w:hAnsi="宋体" w:cs="宋体"/>
          <w:color w:val="FF0000"/>
        </w:rPr>
        <w:t>监控</w:t>
      </w:r>
      <w:r>
        <w:rPr>
          <w:color w:val="FF0000"/>
        </w:rPr>
        <w:t>管理</w:t>
      </w:r>
      <w:r>
        <w:rPr>
          <w:rFonts w:hint="eastAsia" w:ascii="宋体" w:hAnsi="宋体" w:cs="宋体"/>
          <w:color w:val="FF0000"/>
        </w:rPr>
        <w:t>平台</w:t>
      </w:r>
      <w:r>
        <w:rPr>
          <w:rFonts w:hint="eastAsia" w:ascii="宋体" w:hAnsi="宋体" w:cs="宋体"/>
          <w:color w:val="FF0000"/>
          <w:kern w:val="0"/>
        </w:rPr>
        <w:t>的部署实施，</w:t>
      </w:r>
      <w:r>
        <w:rPr>
          <w:rFonts w:hint="eastAsia" w:ascii="宋体" w:hAnsi="宋体" w:cs="宋体"/>
          <w:color w:val="FF0000"/>
          <w:szCs w:val="21"/>
          <w:lang w:val="en-GB"/>
        </w:rPr>
        <w:t>通过系统监控平台可以及时掌握运维服务对象的运行情况，在故障发生前进行预防，在故障发生后及时告警，同时也为系统的巡检提供了大量的数据依据，为系统的改进、完善打下了坚实的基础，同时缩短了系统故障发生的时长，使故障能够得到及时的处理。</w:t>
      </w:r>
    </w:p>
    <w:p w14:paraId="2E85B0D3">
      <w:pPr>
        <w:pStyle w:val="2"/>
        <w:numPr>
          <w:ilvl w:val="0"/>
          <w:numId w:val="3"/>
        </w:numPr>
        <w:spacing w:line="240" w:lineRule="auto"/>
        <w:ind w:left="567" w:hanging="567" w:firstLineChars="0"/>
        <w:rPr>
          <w:rFonts w:hint="eastAsia" w:ascii="宋体" w:hAnsi="宋体" w:cs="宋体"/>
          <w:sz w:val="32"/>
          <w:szCs w:val="32"/>
        </w:rPr>
      </w:pPr>
      <w:bookmarkStart w:id="15" w:name="_Toc3370194"/>
      <w:bookmarkStart w:id="16" w:name="_Toc26043"/>
      <w:bookmarkStart w:id="17" w:name="_Toc525042858"/>
      <w:r>
        <w:rPr>
          <w:rFonts w:hint="eastAsia" w:ascii="宋体" w:hAnsi="宋体" w:cs="宋体"/>
          <w:sz w:val="32"/>
          <w:szCs w:val="32"/>
        </w:rPr>
        <w:t>下一步规划</w:t>
      </w:r>
      <w:bookmarkEnd w:id="15"/>
      <w:bookmarkEnd w:id="16"/>
      <w:bookmarkEnd w:id="17"/>
    </w:p>
    <w:p w14:paraId="59DD6CE9">
      <w:pPr>
        <w:widowControl/>
        <w:adjustRightInd/>
        <w:snapToGrid/>
        <w:spacing w:before="163" w:beforeLines="50" w:after="163" w:afterLines="50"/>
        <w:ind w:firstLine="600" w:firstLineChars="250"/>
        <w:rPr>
          <w:rFonts w:hint="eastAsia" w:ascii="宋体" w:hAnsi="宋体" w:cs="宋体"/>
          <w:kern w:val="0"/>
        </w:rPr>
      </w:pPr>
      <w:r>
        <w:rPr>
          <w:rFonts w:hint="eastAsia" w:ascii="宋体" w:hAnsi="宋体" w:cs="宋体"/>
          <w:color w:val="FF0000"/>
          <w:lang w:val="en-US" w:eastAsia="zh-CN"/>
        </w:rPr>
        <w:t>XXX</w:t>
      </w:r>
      <w:r>
        <w:rPr>
          <w:rFonts w:hint="eastAsia" w:ascii="宋体" w:hAnsi="宋体" w:cs="宋体"/>
          <w:color w:val="FF0000"/>
        </w:rPr>
        <w:t>管理平台</w:t>
      </w:r>
      <w:r>
        <w:rPr>
          <w:rFonts w:hint="eastAsia" w:ascii="宋体" w:hAnsi="宋体" w:cs="宋体"/>
          <w:color w:val="FF0000"/>
          <w:kern w:val="0"/>
        </w:rPr>
        <w:t>部署后，通过</w:t>
      </w:r>
      <w:r>
        <w:rPr>
          <w:rFonts w:hint="eastAsia"/>
          <w:color w:val="FF0000"/>
        </w:rPr>
        <w:t>《</w:t>
      </w:r>
      <w:r>
        <w:rPr>
          <w:rFonts w:hint="eastAsia"/>
          <w:color w:val="FF0000"/>
          <w:lang w:val="en-US" w:eastAsia="zh-CN"/>
        </w:rPr>
        <w:t>XXX</w:t>
      </w:r>
      <w:r>
        <w:rPr>
          <w:rFonts w:hint="eastAsia"/>
          <w:color w:val="FF0000"/>
        </w:rPr>
        <w:t>项目》</w:t>
      </w:r>
      <w:r>
        <w:rPr>
          <w:rFonts w:hint="eastAsia" w:ascii="宋体" w:hAnsi="宋体" w:cs="宋体"/>
          <w:color w:val="FF0000"/>
          <w:kern w:val="0"/>
        </w:rPr>
        <w:t>的实践案例，不断总结使用过程中的问题，下一步将根据当前的部署情况，根据使用工具的经验教训以及运维项目的实际情况，进一步对工具进行集成化。</w:t>
      </w:r>
      <w:bookmarkEnd w:id="9"/>
    </w:p>
    <w:sectPr>
      <w:headerReference r:id="rId13" w:type="first"/>
      <w:headerReference r:id="rId11" w:type="default"/>
      <w:footerReference r:id="rId14" w:type="default"/>
      <w:headerReference r:id="rId12" w:type="even"/>
      <w:pgSz w:w="11906" w:h="16838"/>
      <w:pgMar w:top="993" w:right="992" w:bottom="992" w:left="992" w:header="567" w:footer="315" w:gutter="0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F0E92">
    <w:pPr>
      <w:pStyle w:val="1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746928979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5F610">
                          <w:pPr>
                            <w:pStyle w:val="1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1pt;width:4.6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LW7l30AAAAAIBAAAPAAAAAAAAAAEAIAAAACIA&#10;AABkcnMvZG93bnJldi54bWxQSwECFAAUAAAACACHTuJAsUJ9xx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25F610">
                    <w:pPr>
                      <w:pStyle w:val="1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70A60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5CF1D"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BF8BD">
    <w:pPr>
      <w:pStyle w:val="10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92A00C">
                          <w:pPr>
                            <w:pStyle w:val="1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1pt;width:4.6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vbGRr0QAAAAIBAAAPAAAAAAAAAAEAIAAAACIAAABkcnMvZG93bnJldi54bWxQSwECFAAUAAAA&#10;CACHTuJA5AOuqC4CAABSBAAADgAAAAAAAAABACAAAAAgAQAAZHJzL2Uyb0RvYy54bWxQSwUGAAAA&#10;AAYABgBZAQAAw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92A00C">
                    <w:pPr>
                      <w:pStyle w:val="1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7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8B898">
    <w:pPr>
      <w:ind w:left="480" w:firstLine="0" w:firstLineChars="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63BF1">
    <w:pPr>
      <w:pStyle w:val="11"/>
    </w:pPr>
    <w:r>
      <w:pict>
        <v:shape id="PowerPlusWaterMarkObject51334422" o:spid="_x0000_s1027" o:spt="136" type="#_x0000_t136" style="position:absolute;left:0pt;height:63.55pt;width:635.9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神州交通（内部公开）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7CAAA">
    <w:pPr>
      <w:pStyle w:val="11"/>
    </w:pPr>
    <w:r>
      <w:pict>
        <v:shape id="PowerPlusWaterMarkObject51334421" o:spid="_x0000_s1025" o:spt="136" type="#_x0000_t136" style="position:absolute;left:0pt;height:63.55pt;width:635.9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神州交通（内部公开）" style="font-family:宋体;font-size:8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7C019">
    <w:pPr>
      <w:pStyle w:val="11"/>
      <w:pBdr>
        <w:bottom w:val="none" w:color="auto" w:sz="0" w:space="1"/>
      </w:pBdr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05CA5">
    <w:pPr>
      <w:pStyle w:val="11"/>
    </w:pPr>
    <w:r>
      <w:pict>
        <v:shape id="PowerPlusWaterMarkObject51334425" o:spid="_x0000_s1030" o:spt="136" type="#_x0000_t136" style="position:absolute;left:0pt;height:63.55pt;width:635.9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神州交通（内部公开）" style="font-family:宋体;font-size:8pt;v-text-align:center;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E5D0B">
    <w:pPr>
      <w:pStyle w:val="11"/>
    </w:pPr>
    <w:r>
      <w:pict>
        <v:shape id="PowerPlusWaterMarkObject51334424" o:spid="_x0000_s1028" o:spt="136" type="#_x0000_t136" style="position:absolute;left:0pt;height:63.55pt;width:635.9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神州交通（内部公开）" style="font-family:宋体;font-size:8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A754A"/>
    <w:multiLevelType w:val="multilevel"/>
    <w:tmpl w:val="1E2A754A"/>
    <w:lvl w:ilvl="0" w:tentative="0">
      <w:start w:val="5"/>
      <w:numFmt w:val="decimal"/>
      <w:pStyle w:val="35"/>
      <w:lvlText w:val="图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">
    <w:nsid w:val="351E0C91"/>
    <w:multiLevelType w:val="multilevel"/>
    <w:tmpl w:val="351E0C91"/>
    <w:lvl w:ilvl="0" w:tentative="0">
      <w:start w:val="1"/>
      <w:numFmt w:val="bullet"/>
      <w:pStyle w:val="37"/>
      <w:lvlText w:val=""/>
      <w:lvlJc w:val="left"/>
      <w:pPr>
        <w:tabs>
          <w:tab w:val="left" w:pos="620"/>
        </w:tabs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hint="default" w:ascii="Wingdings" w:hAnsi="Wingdings"/>
        <w:color w:val="auto"/>
        <w:sz w:val="21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  <w:b w:val="0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abstractNum w:abstractNumId="2">
    <w:nsid w:val="39175AA3"/>
    <w:multiLevelType w:val="multilevel"/>
    <w:tmpl w:val="39175AA3"/>
    <w:lvl w:ilvl="0" w:tentative="0">
      <w:start w:val="1"/>
      <w:numFmt w:val="decimal"/>
      <w:lvlText w:val="%1"/>
      <w:lvlJc w:val="left"/>
      <w:pPr>
        <w:ind w:left="1303" w:hanging="420"/>
      </w:pPr>
      <w:rPr>
        <w:rFonts w:hint="default" w:ascii="宋体" w:hAnsi="宋体" w:eastAsia="宋体" w:cs="宋体"/>
        <w:sz w:val="32"/>
        <w:szCs w:val="32"/>
      </w:rPr>
    </w:lvl>
    <w:lvl w:ilvl="1" w:tentative="0">
      <w:start w:val="1"/>
      <w:numFmt w:val="lowerLetter"/>
      <w:lvlText w:val="%2)"/>
      <w:lvlJc w:val="left"/>
      <w:pPr>
        <w:ind w:left="1723" w:hanging="420"/>
      </w:pPr>
    </w:lvl>
    <w:lvl w:ilvl="2" w:tentative="0">
      <w:start w:val="1"/>
      <w:numFmt w:val="lowerRoman"/>
      <w:lvlText w:val="%3."/>
      <w:lvlJc w:val="right"/>
      <w:pPr>
        <w:ind w:left="2143" w:hanging="420"/>
      </w:pPr>
    </w:lvl>
    <w:lvl w:ilvl="3" w:tentative="0">
      <w:start w:val="1"/>
      <w:numFmt w:val="decimal"/>
      <w:lvlText w:val="%4."/>
      <w:lvlJc w:val="left"/>
      <w:pPr>
        <w:ind w:left="2563" w:hanging="420"/>
      </w:pPr>
    </w:lvl>
    <w:lvl w:ilvl="4" w:tentative="0">
      <w:start w:val="1"/>
      <w:numFmt w:val="lowerLetter"/>
      <w:lvlText w:val="%5)"/>
      <w:lvlJc w:val="left"/>
      <w:pPr>
        <w:ind w:left="2983" w:hanging="420"/>
      </w:pPr>
    </w:lvl>
    <w:lvl w:ilvl="5" w:tentative="0">
      <w:start w:val="1"/>
      <w:numFmt w:val="lowerRoman"/>
      <w:lvlText w:val="%6."/>
      <w:lvlJc w:val="right"/>
      <w:pPr>
        <w:ind w:left="3403" w:hanging="420"/>
      </w:pPr>
    </w:lvl>
    <w:lvl w:ilvl="6" w:tentative="0">
      <w:start w:val="1"/>
      <w:numFmt w:val="decimal"/>
      <w:lvlText w:val="%7."/>
      <w:lvlJc w:val="left"/>
      <w:pPr>
        <w:ind w:left="3823" w:hanging="420"/>
      </w:pPr>
    </w:lvl>
    <w:lvl w:ilvl="7" w:tentative="0">
      <w:start w:val="1"/>
      <w:numFmt w:val="lowerLetter"/>
      <w:lvlText w:val="%8)"/>
      <w:lvlJc w:val="left"/>
      <w:pPr>
        <w:ind w:left="4243" w:hanging="420"/>
      </w:pPr>
    </w:lvl>
    <w:lvl w:ilvl="8" w:tentative="0">
      <w:start w:val="1"/>
      <w:numFmt w:val="lowerRoman"/>
      <w:lvlText w:val="%9."/>
      <w:lvlJc w:val="right"/>
      <w:pPr>
        <w:ind w:left="4663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4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1Y2FmOTA5ZTNiMmJmODFjZDY3ZmNlOWI1OWIxMGEifQ=="/>
  </w:docVars>
  <w:rsids>
    <w:rsidRoot w:val="00BF2899"/>
    <w:rsid w:val="00012210"/>
    <w:rsid w:val="000204A8"/>
    <w:rsid w:val="0002319D"/>
    <w:rsid w:val="0002547D"/>
    <w:rsid w:val="0002600B"/>
    <w:rsid w:val="00026362"/>
    <w:rsid w:val="00033704"/>
    <w:rsid w:val="00041F0A"/>
    <w:rsid w:val="0004211A"/>
    <w:rsid w:val="00044539"/>
    <w:rsid w:val="0005034D"/>
    <w:rsid w:val="00060CD0"/>
    <w:rsid w:val="000619CB"/>
    <w:rsid w:val="00071C06"/>
    <w:rsid w:val="000728E8"/>
    <w:rsid w:val="0007345E"/>
    <w:rsid w:val="00076D4E"/>
    <w:rsid w:val="00081569"/>
    <w:rsid w:val="00087C7D"/>
    <w:rsid w:val="000903DE"/>
    <w:rsid w:val="00092F15"/>
    <w:rsid w:val="000966AC"/>
    <w:rsid w:val="000A390F"/>
    <w:rsid w:val="000B0122"/>
    <w:rsid w:val="000D0A58"/>
    <w:rsid w:val="000D543E"/>
    <w:rsid w:val="000D73B7"/>
    <w:rsid w:val="000E6004"/>
    <w:rsid w:val="00110206"/>
    <w:rsid w:val="001105F8"/>
    <w:rsid w:val="0011576C"/>
    <w:rsid w:val="00117A63"/>
    <w:rsid w:val="001246E4"/>
    <w:rsid w:val="00124B13"/>
    <w:rsid w:val="00126FBA"/>
    <w:rsid w:val="001303BC"/>
    <w:rsid w:val="00132F22"/>
    <w:rsid w:val="001330BA"/>
    <w:rsid w:val="00137A41"/>
    <w:rsid w:val="00137BE8"/>
    <w:rsid w:val="00141EBD"/>
    <w:rsid w:val="001509A6"/>
    <w:rsid w:val="001572F1"/>
    <w:rsid w:val="00164F9A"/>
    <w:rsid w:val="001673BA"/>
    <w:rsid w:val="00170407"/>
    <w:rsid w:val="001738CC"/>
    <w:rsid w:val="001777D3"/>
    <w:rsid w:val="00182238"/>
    <w:rsid w:val="00194548"/>
    <w:rsid w:val="00197A49"/>
    <w:rsid w:val="001A13E8"/>
    <w:rsid w:val="001B00A3"/>
    <w:rsid w:val="001B0AA2"/>
    <w:rsid w:val="001C1805"/>
    <w:rsid w:val="001C3004"/>
    <w:rsid w:val="001C316B"/>
    <w:rsid w:val="001D0281"/>
    <w:rsid w:val="001D797D"/>
    <w:rsid w:val="001E4D94"/>
    <w:rsid w:val="001F2131"/>
    <w:rsid w:val="001F317D"/>
    <w:rsid w:val="002051A2"/>
    <w:rsid w:val="0020738C"/>
    <w:rsid w:val="00215EC6"/>
    <w:rsid w:val="00224C25"/>
    <w:rsid w:val="002268DE"/>
    <w:rsid w:val="00230370"/>
    <w:rsid w:val="002329A4"/>
    <w:rsid w:val="00251DCB"/>
    <w:rsid w:val="002607E3"/>
    <w:rsid w:val="00262976"/>
    <w:rsid w:val="00267F4B"/>
    <w:rsid w:val="0027252B"/>
    <w:rsid w:val="00290AD7"/>
    <w:rsid w:val="002A0D78"/>
    <w:rsid w:val="002A6D7C"/>
    <w:rsid w:val="002B043D"/>
    <w:rsid w:val="002C33DE"/>
    <w:rsid w:val="002D451C"/>
    <w:rsid w:val="002D7609"/>
    <w:rsid w:val="002E06F6"/>
    <w:rsid w:val="002E2446"/>
    <w:rsid w:val="002F0489"/>
    <w:rsid w:val="002F1436"/>
    <w:rsid w:val="002F168D"/>
    <w:rsid w:val="00303A32"/>
    <w:rsid w:val="00310A87"/>
    <w:rsid w:val="00311558"/>
    <w:rsid w:val="00311BDB"/>
    <w:rsid w:val="00315B24"/>
    <w:rsid w:val="00316A5F"/>
    <w:rsid w:val="0032050A"/>
    <w:rsid w:val="00330BC3"/>
    <w:rsid w:val="00333247"/>
    <w:rsid w:val="003354B3"/>
    <w:rsid w:val="00340C8E"/>
    <w:rsid w:val="00345B09"/>
    <w:rsid w:val="00350149"/>
    <w:rsid w:val="00353D2C"/>
    <w:rsid w:val="0035687B"/>
    <w:rsid w:val="003638FD"/>
    <w:rsid w:val="003658FF"/>
    <w:rsid w:val="00372432"/>
    <w:rsid w:val="0038190C"/>
    <w:rsid w:val="00384C6E"/>
    <w:rsid w:val="00394056"/>
    <w:rsid w:val="003A65E3"/>
    <w:rsid w:val="003C1B47"/>
    <w:rsid w:val="003C6236"/>
    <w:rsid w:val="003D212A"/>
    <w:rsid w:val="003D2364"/>
    <w:rsid w:val="003D3912"/>
    <w:rsid w:val="003D44E0"/>
    <w:rsid w:val="003E2E69"/>
    <w:rsid w:val="003E3E08"/>
    <w:rsid w:val="003F5430"/>
    <w:rsid w:val="00404486"/>
    <w:rsid w:val="004060BF"/>
    <w:rsid w:val="0041286D"/>
    <w:rsid w:val="004153AD"/>
    <w:rsid w:val="00415C52"/>
    <w:rsid w:val="004250FD"/>
    <w:rsid w:val="00427E18"/>
    <w:rsid w:val="0043264B"/>
    <w:rsid w:val="00440111"/>
    <w:rsid w:val="00442E23"/>
    <w:rsid w:val="004843A0"/>
    <w:rsid w:val="00486F91"/>
    <w:rsid w:val="00487077"/>
    <w:rsid w:val="004927C7"/>
    <w:rsid w:val="00493B5A"/>
    <w:rsid w:val="00495BFF"/>
    <w:rsid w:val="004A1465"/>
    <w:rsid w:val="004A6A8D"/>
    <w:rsid w:val="004A77A1"/>
    <w:rsid w:val="004B0692"/>
    <w:rsid w:val="004B0E06"/>
    <w:rsid w:val="004C46A4"/>
    <w:rsid w:val="004C7ADC"/>
    <w:rsid w:val="004D07F5"/>
    <w:rsid w:val="004D1DF8"/>
    <w:rsid w:val="004D7D09"/>
    <w:rsid w:val="004E1608"/>
    <w:rsid w:val="004F1348"/>
    <w:rsid w:val="004F1BA1"/>
    <w:rsid w:val="004F6D05"/>
    <w:rsid w:val="004F77F7"/>
    <w:rsid w:val="00515164"/>
    <w:rsid w:val="00516556"/>
    <w:rsid w:val="00532592"/>
    <w:rsid w:val="0054565E"/>
    <w:rsid w:val="00545896"/>
    <w:rsid w:val="00545E41"/>
    <w:rsid w:val="00554E4F"/>
    <w:rsid w:val="00555190"/>
    <w:rsid w:val="0056617E"/>
    <w:rsid w:val="005870F5"/>
    <w:rsid w:val="00591DF9"/>
    <w:rsid w:val="00592C70"/>
    <w:rsid w:val="00597033"/>
    <w:rsid w:val="005A2D65"/>
    <w:rsid w:val="005B23BA"/>
    <w:rsid w:val="005B4A0E"/>
    <w:rsid w:val="005B70BE"/>
    <w:rsid w:val="005C257F"/>
    <w:rsid w:val="005E33FA"/>
    <w:rsid w:val="005F0EB5"/>
    <w:rsid w:val="005F2005"/>
    <w:rsid w:val="00600A3F"/>
    <w:rsid w:val="00600BBB"/>
    <w:rsid w:val="00610101"/>
    <w:rsid w:val="006174EE"/>
    <w:rsid w:val="00624B04"/>
    <w:rsid w:val="00631511"/>
    <w:rsid w:val="00651FA0"/>
    <w:rsid w:val="006551F7"/>
    <w:rsid w:val="00657BA3"/>
    <w:rsid w:val="00660F4E"/>
    <w:rsid w:val="00663F62"/>
    <w:rsid w:val="006667A0"/>
    <w:rsid w:val="0067199F"/>
    <w:rsid w:val="00672B7F"/>
    <w:rsid w:val="00680C75"/>
    <w:rsid w:val="00685526"/>
    <w:rsid w:val="006864B0"/>
    <w:rsid w:val="0068791B"/>
    <w:rsid w:val="00691188"/>
    <w:rsid w:val="006B2288"/>
    <w:rsid w:val="006B47BB"/>
    <w:rsid w:val="006E1E30"/>
    <w:rsid w:val="006E21F8"/>
    <w:rsid w:val="006E3E2B"/>
    <w:rsid w:val="0070256C"/>
    <w:rsid w:val="00711333"/>
    <w:rsid w:val="00724B4B"/>
    <w:rsid w:val="00726D2F"/>
    <w:rsid w:val="00727D19"/>
    <w:rsid w:val="007300AF"/>
    <w:rsid w:val="007449A9"/>
    <w:rsid w:val="00745E85"/>
    <w:rsid w:val="007546D6"/>
    <w:rsid w:val="007558A1"/>
    <w:rsid w:val="00774C86"/>
    <w:rsid w:val="00785EA8"/>
    <w:rsid w:val="007912F8"/>
    <w:rsid w:val="00792446"/>
    <w:rsid w:val="00797098"/>
    <w:rsid w:val="007972C6"/>
    <w:rsid w:val="007A003E"/>
    <w:rsid w:val="007A0BB4"/>
    <w:rsid w:val="007A247A"/>
    <w:rsid w:val="007A760E"/>
    <w:rsid w:val="007C0D2E"/>
    <w:rsid w:val="007C5D06"/>
    <w:rsid w:val="007D6F4A"/>
    <w:rsid w:val="007E0A86"/>
    <w:rsid w:val="007E2BD8"/>
    <w:rsid w:val="007E5AEF"/>
    <w:rsid w:val="007F785A"/>
    <w:rsid w:val="00803CE3"/>
    <w:rsid w:val="00811246"/>
    <w:rsid w:val="008222AB"/>
    <w:rsid w:val="008366E6"/>
    <w:rsid w:val="00841A66"/>
    <w:rsid w:val="00847772"/>
    <w:rsid w:val="008508A0"/>
    <w:rsid w:val="008525FC"/>
    <w:rsid w:val="008540BD"/>
    <w:rsid w:val="00861D73"/>
    <w:rsid w:val="00874283"/>
    <w:rsid w:val="008775E9"/>
    <w:rsid w:val="008779E7"/>
    <w:rsid w:val="0089066F"/>
    <w:rsid w:val="0089192A"/>
    <w:rsid w:val="00897964"/>
    <w:rsid w:val="008A4E1F"/>
    <w:rsid w:val="008A5A71"/>
    <w:rsid w:val="008A7022"/>
    <w:rsid w:val="008B49A8"/>
    <w:rsid w:val="008D0C77"/>
    <w:rsid w:val="008D0EB2"/>
    <w:rsid w:val="008D1465"/>
    <w:rsid w:val="008D34CF"/>
    <w:rsid w:val="008F1CF3"/>
    <w:rsid w:val="009078F1"/>
    <w:rsid w:val="00912A76"/>
    <w:rsid w:val="00932F0C"/>
    <w:rsid w:val="009412F5"/>
    <w:rsid w:val="0094709C"/>
    <w:rsid w:val="00952928"/>
    <w:rsid w:val="009555AA"/>
    <w:rsid w:val="00963441"/>
    <w:rsid w:val="00963B93"/>
    <w:rsid w:val="00970025"/>
    <w:rsid w:val="00973103"/>
    <w:rsid w:val="00987376"/>
    <w:rsid w:val="009918CF"/>
    <w:rsid w:val="009A5ACA"/>
    <w:rsid w:val="009B4B37"/>
    <w:rsid w:val="009C459F"/>
    <w:rsid w:val="009D1435"/>
    <w:rsid w:val="009D268D"/>
    <w:rsid w:val="009E29AF"/>
    <w:rsid w:val="009E6914"/>
    <w:rsid w:val="009F35DD"/>
    <w:rsid w:val="009F4AC8"/>
    <w:rsid w:val="009F7376"/>
    <w:rsid w:val="00A00124"/>
    <w:rsid w:val="00A11C10"/>
    <w:rsid w:val="00A15949"/>
    <w:rsid w:val="00A30AD4"/>
    <w:rsid w:val="00A37DAB"/>
    <w:rsid w:val="00A50BE5"/>
    <w:rsid w:val="00A60FD9"/>
    <w:rsid w:val="00A62BC9"/>
    <w:rsid w:val="00A726A1"/>
    <w:rsid w:val="00A77B59"/>
    <w:rsid w:val="00A82AB9"/>
    <w:rsid w:val="00A872F2"/>
    <w:rsid w:val="00A92C59"/>
    <w:rsid w:val="00A94AE9"/>
    <w:rsid w:val="00AA4F0D"/>
    <w:rsid w:val="00AA56CE"/>
    <w:rsid w:val="00AA733F"/>
    <w:rsid w:val="00AA7641"/>
    <w:rsid w:val="00AB5B36"/>
    <w:rsid w:val="00AC0A2E"/>
    <w:rsid w:val="00AD49E3"/>
    <w:rsid w:val="00AD5706"/>
    <w:rsid w:val="00AF0F43"/>
    <w:rsid w:val="00B0367D"/>
    <w:rsid w:val="00B05BD7"/>
    <w:rsid w:val="00B151A6"/>
    <w:rsid w:val="00B15B42"/>
    <w:rsid w:val="00B214FE"/>
    <w:rsid w:val="00B277B5"/>
    <w:rsid w:val="00B30F49"/>
    <w:rsid w:val="00B465AD"/>
    <w:rsid w:val="00B50183"/>
    <w:rsid w:val="00B513B8"/>
    <w:rsid w:val="00B5381D"/>
    <w:rsid w:val="00B67BF2"/>
    <w:rsid w:val="00B714BF"/>
    <w:rsid w:val="00B7401E"/>
    <w:rsid w:val="00B866EF"/>
    <w:rsid w:val="00B91B4D"/>
    <w:rsid w:val="00B953B5"/>
    <w:rsid w:val="00BA07A8"/>
    <w:rsid w:val="00BA5011"/>
    <w:rsid w:val="00BC6D40"/>
    <w:rsid w:val="00BD0707"/>
    <w:rsid w:val="00BD4FC7"/>
    <w:rsid w:val="00BF1484"/>
    <w:rsid w:val="00BF2899"/>
    <w:rsid w:val="00C1621B"/>
    <w:rsid w:val="00C325EF"/>
    <w:rsid w:val="00C40A1D"/>
    <w:rsid w:val="00C74D33"/>
    <w:rsid w:val="00C76227"/>
    <w:rsid w:val="00C8199C"/>
    <w:rsid w:val="00C82CC0"/>
    <w:rsid w:val="00C909D3"/>
    <w:rsid w:val="00CA1391"/>
    <w:rsid w:val="00CA4554"/>
    <w:rsid w:val="00CB4E08"/>
    <w:rsid w:val="00CC41A6"/>
    <w:rsid w:val="00CF0D40"/>
    <w:rsid w:val="00CF1DD6"/>
    <w:rsid w:val="00CF5889"/>
    <w:rsid w:val="00D01547"/>
    <w:rsid w:val="00D1332D"/>
    <w:rsid w:val="00D25A2B"/>
    <w:rsid w:val="00D27D77"/>
    <w:rsid w:val="00D41588"/>
    <w:rsid w:val="00D43FFA"/>
    <w:rsid w:val="00D5368F"/>
    <w:rsid w:val="00D54906"/>
    <w:rsid w:val="00D549BB"/>
    <w:rsid w:val="00D70CFA"/>
    <w:rsid w:val="00D73141"/>
    <w:rsid w:val="00D82890"/>
    <w:rsid w:val="00D846A6"/>
    <w:rsid w:val="00D84E21"/>
    <w:rsid w:val="00D9064B"/>
    <w:rsid w:val="00D9169A"/>
    <w:rsid w:val="00D931C8"/>
    <w:rsid w:val="00DA001C"/>
    <w:rsid w:val="00DB0696"/>
    <w:rsid w:val="00DB5E3E"/>
    <w:rsid w:val="00DB7C51"/>
    <w:rsid w:val="00DC453C"/>
    <w:rsid w:val="00DD035F"/>
    <w:rsid w:val="00DD5BC4"/>
    <w:rsid w:val="00DE17C0"/>
    <w:rsid w:val="00DE1A8C"/>
    <w:rsid w:val="00DF0658"/>
    <w:rsid w:val="00DF26D5"/>
    <w:rsid w:val="00E0695D"/>
    <w:rsid w:val="00E06CB3"/>
    <w:rsid w:val="00E115D4"/>
    <w:rsid w:val="00E13594"/>
    <w:rsid w:val="00E135CE"/>
    <w:rsid w:val="00E24ACF"/>
    <w:rsid w:val="00E24FF4"/>
    <w:rsid w:val="00E270F6"/>
    <w:rsid w:val="00E41EDC"/>
    <w:rsid w:val="00E428D8"/>
    <w:rsid w:val="00E46837"/>
    <w:rsid w:val="00E5306A"/>
    <w:rsid w:val="00E5586D"/>
    <w:rsid w:val="00E6042C"/>
    <w:rsid w:val="00E614E7"/>
    <w:rsid w:val="00E80750"/>
    <w:rsid w:val="00E82C89"/>
    <w:rsid w:val="00E8449F"/>
    <w:rsid w:val="00E866CF"/>
    <w:rsid w:val="00E94414"/>
    <w:rsid w:val="00EB4AD0"/>
    <w:rsid w:val="00EC0176"/>
    <w:rsid w:val="00EC706B"/>
    <w:rsid w:val="00EE1739"/>
    <w:rsid w:val="00EE5B64"/>
    <w:rsid w:val="00EE7CB9"/>
    <w:rsid w:val="00EF3572"/>
    <w:rsid w:val="00F02CAE"/>
    <w:rsid w:val="00F03B7B"/>
    <w:rsid w:val="00F0440E"/>
    <w:rsid w:val="00F058B3"/>
    <w:rsid w:val="00F05FD9"/>
    <w:rsid w:val="00F10C81"/>
    <w:rsid w:val="00F11BB2"/>
    <w:rsid w:val="00F157E4"/>
    <w:rsid w:val="00F27081"/>
    <w:rsid w:val="00F36A4A"/>
    <w:rsid w:val="00F45E63"/>
    <w:rsid w:val="00F536AB"/>
    <w:rsid w:val="00F6473F"/>
    <w:rsid w:val="00F765BB"/>
    <w:rsid w:val="00F77147"/>
    <w:rsid w:val="00F81373"/>
    <w:rsid w:val="00F84CBA"/>
    <w:rsid w:val="00F96705"/>
    <w:rsid w:val="00FA6B56"/>
    <w:rsid w:val="00FB0198"/>
    <w:rsid w:val="00FC2A28"/>
    <w:rsid w:val="00FE2641"/>
    <w:rsid w:val="00FE4A4D"/>
    <w:rsid w:val="00FF704F"/>
    <w:rsid w:val="02DC2156"/>
    <w:rsid w:val="03C52BEB"/>
    <w:rsid w:val="063E0A32"/>
    <w:rsid w:val="085C3EA8"/>
    <w:rsid w:val="087A6EB3"/>
    <w:rsid w:val="093D0BF1"/>
    <w:rsid w:val="097529BD"/>
    <w:rsid w:val="09BA7D80"/>
    <w:rsid w:val="0B1F425C"/>
    <w:rsid w:val="0B525265"/>
    <w:rsid w:val="0CBA2F1D"/>
    <w:rsid w:val="0E1105A4"/>
    <w:rsid w:val="0E8C4B7D"/>
    <w:rsid w:val="104B2965"/>
    <w:rsid w:val="108E18A0"/>
    <w:rsid w:val="11926073"/>
    <w:rsid w:val="11F80E06"/>
    <w:rsid w:val="12905D43"/>
    <w:rsid w:val="12AF5192"/>
    <w:rsid w:val="12CB62F4"/>
    <w:rsid w:val="12E3648E"/>
    <w:rsid w:val="13645F7C"/>
    <w:rsid w:val="13863FC8"/>
    <w:rsid w:val="13B441F0"/>
    <w:rsid w:val="14132720"/>
    <w:rsid w:val="141A633D"/>
    <w:rsid w:val="15477C3A"/>
    <w:rsid w:val="159B7C4F"/>
    <w:rsid w:val="15C5643E"/>
    <w:rsid w:val="15D417D3"/>
    <w:rsid w:val="162F4B54"/>
    <w:rsid w:val="17EE3251"/>
    <w:rsid w:val="18D0485E"/>
    <w:rsid w:val="19636CD6"/>
    <w:rsid w:val="19650358"/>
    <w:rsid w:val="1CF93072"/>
    <w:rsid w:val="1DE37C0B"/>
    <w:rsid w:val="1E010E12"/>
    <w:rsid w:val="1EA872D7"/>
    <w:rsid w:val="1EF40D4B"/>
    <w:rsid w:val="1F282554"/>
    <w:rsid w:val="1F7F013A"/>
    <w:rsid w:val="200E55D8"/>
    <w:rsid w:val="211E58BA"/>
    <w:rsid w:val="217215EC"/>
    <w:rsid w:val="21BB6EFD"/>
    <w:rsid w:val="236264C6"/>
    <w:rsid w:val="238851EE"/>
    <w:rsid w:val="24286B52"/>
    <w:rsid w:val="25222363"/>
    <w:rsid w:val="2527505B"/>
    <w:rsid w:val="25583FC6"/>
    <w:rsid w:val="25E60A73"/>
    <w:rsid w:val="27A55A0F"/>
    <w:rsid w:val="27F11217"/>
    <w:rsid w:val="281713B7"/>
    <w:rsid w:val="28DA7B3D"/>
    <w:rsid w:val="291134EF"/>
    <w:rsid w:val="294361DC"/>
    <w:rsid w:val="294B6E32"/>
    <w:rsid w:val="2A1D2A87"/>
    <w:rsid w:val="2A27165A"/>
    <w:rsid w:val="2A364537"/>
    <w:rsid w:val="2A5E4A8C"/>
    <w:rsid w:val="2B0B186E"/>
    <w:rsid w:val="2B5B7132"/>
    <w:rsid w:val="2C2876FD"/>
    <w:rsid w:val="2CA90A4C"/>
    <w:rsid w:val="2F1256E6"/>
    <w:rsid w:val="2F3C392F"/>
    <w:rsid w:val="319E66A5"/>
    <w:rsid w:val="31AD1B8F"/>
    <w:rsid w:val="3245305B"/>
    <w:rsid w:val="3542559A"/>
    <w:rsid w:val="35A27EC6"/>
    <w:rsid w:val="37294C63"/>
    <w:rsid w:val="37C4498C"/>
    <w:rsid w:val="396A0841"/>
    <w:rsid w:val="39B016D1"/>
    <w:rsid w:val="3A6C2AE5"/>
    <w:rsid w:val="3B3C7F06"/>
    <w:rsid w:val="3CD17AA7"/>
    <w:rsid w:val="3D4C36B4"/>
    <w:rsid w:val="3D6A38DF"/>
    <w:rsid w:val="3DAD67AF"/>
    <w:rsid w:val="3F4C59ED"/>
    <w:rsid w:val="4007741B"/>
    <w:rsid w:val="410E46E1"/>
    <w:rsid w:val="414D154E"/>
    <w:rsid w:val="42695909"/>
    <w:rsid w:val="42DF589C"/>
    <w:rsid w:val="42FE7A9D"/>
    <w:rsid w:val="432933BF"/>
    <w:rsid w:val="438F39BB"/>
    <w:rsid w:val="43B81BDC"/>
    <w:rsid w:val="43BC29BB"/>
    <w:rsid w:val="452E0624"/>
    <w:rsid w:val="45965BB9"/>
    <w:rsid w:val="459A09B5"/>
    <w:rsid w:val="459B07C2"/>
    <w:rsid w:val="45DE045B"/>
    <w:rsid w:val="467E16F4"/>
    <w:rsid w:val="4701407C"/>
    <w:rsid w:val="482A12F4"/>
    <w:rsid w:val="487D096B"/>
    <w:rsid w:val="48DC3316"/>
    <w:rsid w:val="49331013"/>
    <w:rsid w:val="49D27E3D"/>
    <w:rsid w:val="4CE32274"/>
    <w:rsid w:val="4FF00C36"/>
    <w:rsid w:val="50C05F23"/>
    <w:rsid w:val="50F47C38"/>
    <w:rsid w:val="51A757B9"/>
    <w:rsid w:val="51BB66C0"/>
    <w:rsid w:val="51F65119"/>
    <w:rsid w:val="526628EE"/>
    <w:rsid w:val="52DB7B7D"/>
    <w:rsid w:val="5367632F"/>
    <w:rsid w:val="53BF0089"/>
    <w:rsid w:val="5447247D"/>
    <w:rsid w:val="54EB1352"/>
    <w:rsid w:val="54F350A1"/>
    <w:rsid w:val="55B811C9"/>
    <w:rsid w:val="55C47C29"/>
    <w:rsid w:val="55C5469E"/>
    <w:rsid w:val="56FD6FD2"/>
    <w:rsid w:val="573174F0"/>
    <w:rsid w:val="58DA7713"/>
    <w:rsid w:val="591742FA"/>
    <w:rsid w:val="59F25DE9"/>
    <w:rsid w:val="5AA91212"/>
    <w:rsid w:val="5AD96F0C"/>
    <w:rsid w:val="5BA815A4"/>
    <w:rsid w:val="5DFF61A4"/>
    <w:rsid w:val="5E7D0EB7"/>
    <w:rsid w:val="5F2142EE"/>
    <w:rsid w:val="60310A25"/>
    <w:rsid w:val="60624912"/>
    <w:rsid w:val="60B51DA4"/>
    <w:rsid w:val="60D158A0"/>
    <w:rsid w:val="613A68AF"/>
    <w:rsid w:val="62431917"/>
    <w:rsid w:val="641C76D4"/>
    <w:rsid w:val="659B022A"/>
    <w:rsid w:val="662326FA"/>
    <w:rsid w:val="66C20094"/>
    <w:rsid w:val="674A1F08"/>
    <w:rsid w:val="679D038E"/>
    <w:rsid w:val="67EA2AF6"/>
    <w:rsid w:val="680A0961"/>
    <w:rsid w:val="688E4077"/>
    <w:rsid w:val="68AD274F"/>
    <w:rsid w:val="69E179C2"/>
    <w:rsid w:val="6A2D3E04"/>
    <w:rsid w:val="6C094140"/>
    <w:rsid w:val="6C625959"/>
    <w:rsid w:val="6D8314B8"/>
    <w:rsid w:val="6E5D69C5"/>
    <w:rsid w:val="6F2D6397"/>
    <w:rsid w:val="71DF6B50"/>
    <w:rsid w:val="72401C62"/>
    <w:rsid w:val="73E136B4"/>
    <w:rsid w:val="757C5983"/>
    <w:rsid w:val="76257DC8"/>
    <w:rsid w:val="76B8429E"/>
    <w:rsid w:val="76E960B4"/>
    <w:rsid w:val="77AA445D"/>
    <w:rsid w:val="783F4C40"/>
    <w:rsid w:val="78476152"/>
    <w:rsid w:val="78E1177F"/>
    <w:rsid w:val="7A601D17"/>
    <w:rsid w:val="7AA94362"/>
    <w:rsid w:val="7B5D0004"/>
    <w:rsid w:val="7BCA3E92"/>
    <w:rsid w:val="7C3C5FA1"/>
    <w:rsid w:val="7C642A1E"/>
    <w:rsid w:val="7E1F3FA0"/>
    <w:rsid w:val="7E8B75DF"/>
    <w:rsid w:val="7F652AED"/>
    <w:rsid w:val="7F6F3673"/>
    <w:rsid w:val="7F7D45B6"/>
    <w:rsid w:val="7FCC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198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adjustRightInd/>
      <w:snapToGrid/>
      <w:spacing w:before="120" w:after="120"/>
      <w:ind w:firstLine="0" w:firstLineChars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adjustRightInd/>
      <w:snapToGrid/>
      <w:spacing w:before="120" w:after="120"/>
      <w:ind w:firstLine="0" w:firstLineChars="0"/>
      <w:outlineLvl w:val="2"/>
    </w:pPr>
    <w:rPr>
      <w:rFonts w:eastAsia="黑体"/>
      <w:b/>
      <w:bCs/>
      <w:sz w:val="32"/>
      <w:szCs w:val="32"/>
    </w:rPr>
  </w:style>
  <w:style w:type="paragraph" w:styleId="5">
    <w:name w:val="heading 4"/>
    <w:basedOn w:val="1"/>
    <w:next w:val="1"/>
    <w:link w:val="24"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link w:val="25"/>
    <w:qFormat/>
    <w:uiPriority w:val="0"/>
    <w:pPr>
      <w:adjustRightInd/>
      <w:snapToGrid/>
      <w:spacing w:line="240" w:lineRule="auto"/>
      <w:ind w:firstLine="420"/>
    </w:pPr>
    <w:rPr>
      <w:kern w:val="0"/>
      <w:sz w:val="20"/>
    </w:rPr>
  </w:style>
  <w:style w:type="paragraph" w:styleId="7">
    <w:name w:val="annotation text"/>
    <w:basedOn w:val="1"/>
    <w:link w:val="26"/>
    <w:unhideWhenUsed/>
    <w:qFormat/>
    <w:uiPriority w:val="99"/>
    <w:pPr>
      <w:jc w:val="left"/>
    </w:pPr>
  </w:style>
  <w:style w:type="paragraph" w:styleId="8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9">
    <w:name w:val="Balloon Text"/>
    <w:basedOn w:val="1"/>
    <w:link w:val="27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adjustRightInd/>
      <w:spacing w:line="240" w:lineRule="auto"/>
      <w:ind w:firstLine="0" w:firstLineChars="0"/>
      <w:jc w:val="left"/>
    </w:pPr>
    <w:rPr>
      <w:rFonts w:ascii="Calibri" w:hAnsi="Calibri"/>
      <w:sz w:val="18"/>
      <w:szCs w:val="18"/>
    </w:rPr>
  </w:style>
  <w:style w:type="paragraph" w:styleId="11">
    <w:name w:val="header"/>
    <w:basedOn w:val="1"/>
    <w:link w:val="2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ind w:firstLine="0" w:firstLineChars="0"/>
      <w:jc w:val="center"/>
    </w:pPr>
    <w:rPr>
      <w:rFonts w:ascii="Calibri" w:hAnsi="Calibri"/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pPr>
      <w:widowControl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</w:rPr>
  </w:style>
  <w:style w:type="paragraph" w:styleId="15">
    <w:name w:val="annotation subject"/>
    <w:basedOn w:val="7"/>
    <w:next w:val="7"/>
    <w:link w:val="30"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unhideWhenUsed/>
    <w:qFormat/>
    <w:uiPriority w:val="99"/>
    <w:rPr>
      <w:color w:val="0000FF"/>
      <w:u w:val="single"/>
    </w:rPr>
  </w:style>
  <w:style w:type="character" w:styleId="20">
    <w:name w:val="annotation reference"/>
    <w:unhideWhenUsed/>
    <w:qFormat/>
    <w:uiPriority w:val="99"/>
    <w:rPr>
      <w:sz w:val="21"/>
      <w:szCs w:val="21"/>
    </w:rPr>
  </w:style>
  <w:style w:type="character" w:customStyle="1" w:styleId="21">
    <w:name w:val="标题 1 字符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2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3">
    <w:name w:val="标题 3 字符"/>
    <w:link w:val="4"/>
    <w:qFormat/>
    <w:uiPriority w:val="0"/>
    <w:rPr>
      <w:rFonts w:ascii="Times New Roman" w:hAnsi="Times New Roman" w:eastAsia="黑体" w:cs="Times New Roman"/>
      <w:b/>
      <w:bCs/>
      <w:sz w:val="32"/>
      <w:szCs w:val="32"/>
    </w:rPr>
  </w:style>
  <w:style w:type="character" w:customStyle="1" w:styleId="24">
    <w:name w:val="标题 4 字符"/>
    <w:link w:val="5"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25">
    <w:name w:val="正文缩进 字符"/>
    <w:link w:val="6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26">
    <w:name w:val="批注文字 字符"/>
    <w:link w:val="7"/>
    <w:semiHidden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27">
    <w:name w:val="批注框文本 字符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页脚 字符"/>
    <w:link w:val="10"/>
    <w:qFormat/>
    <w:uiPriority w:val="99"/>
    <w:rPr>
      <w:sz w:val="18"/>
      <w:szCs w:val="18"/>
    </w:rPr>
  </w:style>
  <w:style w:type="character" w:customStyle="1" w:styleId="29">
    <w:name w:val="页眉 字符"/>
    <w:link w:val="11"/>
    <w:qFormat/>
    <w:uiPriority w:val="0"/>
    <w:rPr>
      <w:sz w:val="18"/>
      <w:szCs w:val="18"/>
    </w:rPr>
  </w:style>
  <w:style w:type="character" w:customStyle="1" w:styleId="30">
    <w:name w:val="批注主题 字符"/>
    <w:link w:val="15"/>
    <w:semiHidden/>
    <w:qFormat/>
    <w:uiPriority w:val="99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31">
    <w:name w:val="样式1"/>
    <w:basedOn w:val="3"/>
    <w:link w:val="32"/>
    <w:qFormat/>
    <w:uiPriority w:val="0"/>
    <w:pPr>
      <w:spacing w:line="240" w:lineRule="atLeast"/>
      <w:ind w:firstLine="723"/>
    </w:pPr>
    <w:rPr>
      <w:sz w:val="36"/>
    </w:rPr>
  </w:style>
  <w:style w:type="character" w:customStyle="1" w:styleId="32">
    <w:name w:val="样式1 Char"/>
    <w:link w:val="31"/>
    <w:qFormat/>
    <w:uiPriority w:val="0"/>
    <w:rPr>
      <w:rFonts w:ascii="Arial" w:hAnsi="Arial" w:eastAsia="黑体" w:cs="Times New Roman"/>
      <w:b/>
      <w:bCs/>
      <w:sz w:val="36"/>
      <w:szCs w:val="32"/>
    </w:rPr>
  </w:style>
  <w:style w:type="character" w:customStyle="1" w:styleId="33">
    <w:name w:val="apple-converted-space"/>
    <w:qFormat/>
    <w:uiPriority w:val="0"/>
  </w:style>
  <w:style w:type="character" w:customStyle="1" w:styleId="34">
    <w:name w:val="图案编号 Char Char"/>
    <w:link w:val="35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35">
    <w:name w:val="图案编号"/>
    <w:basedOn w:val="1"/>
    <w:link w:val="34"/>
    <w:qFormat/>
    <w:uiPriority w:val="0"/>
    <w:pPr>
      <w:numPr>
        <w:ilvl w:val="0"/>
        <w:numId w:val="1"/>
      </w:numPr>
      <w:adjustRightInd/>
      <w:snapToGrid/>
      <w:ind w:firstLineChars="0"/>
      <w:jc w:val="center"/>
    </w:pPr>
    <w:rPr>
      <w:kern w:val="0"/>
      <w:sz w:val="20"/>
    </w:rPr>
  </w:style>
  <w:style w:type="paragraph" w:customStyle="1" w:styleId="36">
    <w:name w:val="Char Char1 Char Char Char Char Char Char Char"/>
    <w:basedOn w:val="1"/>
    <w:qFormat/>
    <w:uiPriority w:val="0"/>
    <w:pPr>
      <w:tabs>
        <w:tab w:val="left" w:pos="360"/>
      </w:tabs>
      <w:adjustRightInd/>
      <w:snapToGrid/>
      <w:ind w:firstLine="480"/>
    </w:pPr>
    <w:rPr>
      <w:rFonts w:ascii="宋体" w:hAnsi="宋体"/>
      <w:kern w:val="0"/>
    </w:rPr>
  </w:style>
  <w:style w:type="paragraph" w:customStyle="1" w:styleId="37">
    <w:name w:val="编号1"/>
    <w:basedOn w:val="1"/>
    <w:qFormat/>
    <w:uiPriority w:val="0"/>
    <w:pPr>
      <w:numPr>
        <w:ilvl w:val="0"/>
        <w:numId w:val="2"/>
      </w:numPr>
      <w:adjustRightInd/>
      <w:snapToGrid/>
      <w:spacing w:line="240" w:lineRule="auto"/>
      <w:ind w:firstLine="0" w:firstLineChars="0"/>
    </w:pPr>
    <w:rPr>
      <w:rFonts w:ascii="Calibri" w:hAnsi="Calibri"/>
      <w:sz w:val="21"/>
      <w:szCs w:val="22"/>
    </w:rPr>
  </w:style>
  <w:style w:type="paragraph" w:styleId="38">
    <w:name w:val="List Paragraph"/>
    <w:basedOn w:val="1"/>
    <w:qFormat/>
    <w:uiPriority w:val="99"/>
    <w:pPr>
      <w:ind w:firstLine="420"/>
    </w:pPr>
  </w:style>
  <w:style w:type="paragraph" w:customStyle="1" w:styleId="39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40">
    <w:name w:val="newstyle15"/>
    <w:basedOn w:val="1"/>
    <w:qFormat/>
    <w:uiPriority w:val="0"/>
    <w:pPr>
      <w:widowControl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</w:rPr>
  </w:style>
  <w:style w:type="paragraph" w:customStyle="1" w:styleId="41">
    <w:name w:val="TOC 标题1"/>
    <w:basedOn w:val="2"/>
    <w:next w:val="1"/>
    <w:unhideWhenUsed/>
    <w:qFormat/>
    <w:uiPriority w:val="39"/>
    <w:pPr>
      <w:widowControl/>
      <w:adjustRightInd/>
      <w:snapToGrid/>
      <w:spacing w:before="240" w:after="0" w:line="259" w:lineRule="auto"/>
      <w:ind w:firstLine="0" w:firstLineChars="0"/>
      <w:jc w:val="left"/>
      <w:outlineLvl w:val="9"/>
    </w:pPr>
    <w:rPr>
      <w:rFonts w:ascii="Cambria" w:hAnsi="Cambria"/>
      <w:b w:val="0"/>
      <w:bCs w:val="0"/>
      <w:color w:val="366091"/>
      <w:kern w:val="0"/>
      <w:sz w:val="32"/>
      <w:szCs w:val="32"/>
    </w:rPr>
  </w:style>
  <w:style w:type="paragraph" w:customStyle="1" w:styleId="42">
    <w:name w:val="列出段落1"/>
    <w:basedOn w:val="1"/>
    <w:qFormat/>
    <w:uiPriority w:val="34"/>
    <w:pPr>
      <w:tabs>
        <w:tab w:val="left" w:pos="0"/>
      </w:tabs>
      <w:adjustRightInd/>
      <w:snapToGrid/>
      <w:spacing w:after="200"/>
      <w:ind w:firstLine="420"/>
    </w:pPr>
    <w:rPr>
      <w:rFonts w:ascii="Calibri" w:hAnsi="Calibri" w:cs="黑体"/>
      <w:szCs w:val="22"/>
    </w:rPr>
  </w:style>
  <w:style w:type="paragraph" w:customStyle="1" w:styleId="43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5"/>
    <customShpInfo spid="_x0000_s1026" textRotate="1"/>
    <customShpInfo spid="_x0000_s1030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18</Pages>
  <Words>739</Words>
  <Characters>820</Characters>
  <Lines>120</Lines>
  <Paragraphs>98</Paragraphs>
  <TotalTime>4</TotalTime>
  <ScaleCrop>false</ScaleCrop>
  <LinksUpToDate>false</LinksUpToDate>
  <CharactersWithSpaces>844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2026-04-13T14:44:00Z</dcterms:created>
  <dc:creator>Windows 用户</dc:creator>
  <cp:lastModifiedBy>WPS18223430808</cp:lastModifiedBy>
  <cp:lastPrinted>2025-01-12T14:18:00Z</cp:lastPrinted>
  <dcterms:modified xsi:type="dcterms:W3CDTF">2026-06-12T03:40:13Z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DC9AE0EEC67B4EF18FC5AE7965FC9B67_13</vt:lpwstr>
  </property>
  <property fmtid="{D5CDD505-2E9C-101B-9397-08002B2CF9AE}" pid="4" name="KSOTemplateDocerSaveRecord">
    <vt:lpwstr>eyJoZGlkIjoiMTU2NTFmZWM0ZjE2NmI3MzM5M2M2NWNmM2U0YWE2MTIiLCJ1c2VySWQiOiIxNDk3NDE0NTYzIn0=</vt:lpwstr>
  </property>
</Properties>
</file>