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EE0CD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89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5AFBC95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中国广电重庆BOSS系统存储维保项目-应急预案</w:t>
      </w:r>
    </w:p>
    <w:p w14:paraId="3F4FE5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文件编号：ZGS-10-03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8004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96E5A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BB083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 w14:paraId="61EC8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CF6CE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541D7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  <w:tr w14:paraId="08C10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6380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23DDE6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2025.02.20</w:t>
            </w:r>
          </w:p>
        </w:tc>
      </w:tr>
    </w:tbl>
    <w:p w14:paraId="0C32CC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D0B04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3F7FD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A002A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A6B1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0842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460CD9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6F625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7C7A32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 w14:paraId="6770A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1DE5B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68AD7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44D38F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B21A1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E63E5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31847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B8783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DAA44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61600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5ED3D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7A45B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DEB05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2CF4A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7" w:hRule="atLeast"/>
          <w:jc w:val="center"/>
        </w:trPr>
        <w:tc>
          <w:tcPr>
            <w:tcW w:w="2689" w:type="dxa"/>
          </w:tcPr>
          <w:p w14:paraId="1DF327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2C45D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DD0FA4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EB91A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7AD043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0B3E3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11BC9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_Toc20899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F6B6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_Toc21081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00C9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_Toc10966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98C3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_Toc6453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8802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工作原则</w:t>
          </w:r>
          <w:r>
            <w:tab/>
          </w:r>
          <w:r>
            <w:fldChar w:fldCharType="begin"/>
          </w:r>
          <w:r>
            <w:instrText xml:space="preserve"> PAGEREF _Toc3974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CD76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应急组织架构与职责</w:t>
          </w:r>
          <w:r>
            <w:tab/>
          </w:r>
          <w:r>
            <w:fldChar w:fldCharType="begin"/>
          </w:r>
          <w:r>
            <w:instrText xml:space="preserve"> PAGEREF _Toc11637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A0A7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应急</w:t>
          </w:r>
          <w:r>
            <w:rPr>
              <w:rFonts w:hint="eastAsia"/>
              <w:lang w:val="en-US" w:eastAsia="zh-CN"/>
            </w:rPr>
            <w:t>管理</w:t>
          </w:r>
          <w:r>
            <w:t>部</w:t>
          </w:r>
          <w:r>
            <w:tab/>
          </w:r>
          <w:r>
            <w:fldChar w:fldCharType="begin"/>
          </w:r>
          <w:r>
            <w:instrText xml:space="preserve"> PAGEREF _Toc16755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D98F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专项应急工作组</w:t>
          </w:r>
          <w:r>
            <w:tab/>
          </w:r>
          <w:r>
            <w:fldChar w:fldCharType="begin"/>
          </w:r>
          <w:r>
            <w:instrText xml:space="preserve"> PAGEREF _Toc10949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9F62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风险分级与响应机制</w:t>
          </w:r>
          <w:r>
            <w:tab/>
          </w:r>
          <w:r>
            <w:fldChar w:fldCharType="begin"/>
          </w:r>
          <w:r>
            <w:instrText xml:space="preserve"> PAGEREF _Toc29402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8E3C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风险分级标准</w:t>
          </w:r>
          <w:r>
            <w:tab/>
          </w:r>
          <w:r>
            <w:fldChar w:fldCharType="begin"/>
          </w:r>
          <w:r>
            <w:instrText xml:space="preserve"> PAGEREF _Toc29353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0621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分级响应流程</w:t>
          </w:r>
          <w:r>
            <w:tab/>
          </w:r>
          <w:r>
            <w:fldChar w:fldCharType="begin"/>
          </w:r>
          <w:r>
            <w:instrText xml:space="preserve"> PAGEREF _Toc32386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9145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应急处置通用流程</w:t>
          </w:r>
          <w:r>
            <w:tab/>
          </w:r>
          <w:r>
            <w:fldChar w:fldCharType="begin"/>
          </w:r>
          <w:r>
            <w:instrText xml:space="preserve"> PAGEREF _Toc16086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37A7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预警与上报</w:t>
          </w:r>
          <w:r>
            <w:tab/>
          </w:r>
          <w:r>
            <w:fldChar w:fldCharType="begin"/>
          </w:r>
          <w:r>
            <w:instrText xml:space="preserve"> PAGEREF _Toc302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00E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应急启动</w:t>
          </w:r>
          <w:r>
            <w:tab/>
          </w:r>
          <w:r>
            <w:fldChar w:fldCharType="begin"/>
          </w:r>
          <w:r>
            <w:instrText xml:space="preserve"> PAGEREF _Toc25437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F21D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现场处置</w:t>
          </w:r>
          <w:r>
            <w:tab/>
          </w:r>
          <w:r>
            <w:fldChar w:fldCharType="begin"/>
          </w:r>
          <w:r>
            <w:instrText xml:space="preserve"> PAGEREF _Toc26522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46B9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恢复与验收</w:t>
          </w:r>
          <w:r>
            <w:tab/>
          </w:r>
          <w:r>
            <w:fldChar w:fldCharType="begin"/>
          </w:r>
          <w:r>
            <w:instrText xml:space="preserve"> PAGEREF _Toc10033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4462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应急终止</w:t>
          </w:r>
          <w:r>
            <w:tab/>
          </w:r>
          <w:r>
            <w:fldChar w:fldCharType="begin"/>
          </w:r>
          <w:r>
            <w:instrText xml:space="preserve"> PAGEREF _Toc23923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8887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专项应急处置方案</w:t>
          </w:r>
          <w:r>
            <w:tab/>
          </w:r>
          <w:r>
            <w:fldChar w:fldCharType="begin"/>
          </w:r>
          <w:r>
            <w:instrText xml:space="preserve"> PAGEREF _Toc3530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80EA9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机房电力中断</w:t>
          </w:r>
          <w:r>
            <w:tab/>
          </w:r>
          <w:r>
            <w:fldChar w:fldCharType="begin"/>
          </w:r>
          <w:r>
            <w:instrText xml:space="preserve"> PAGEREF _Toc11490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3421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机房空调故障</w:t>
          </w:r>
          <w:r>
            <w:tab/>
          </w:r>
          <w:r>
            <w:fldChar w:fldCharType="begin"/>
          </w:r>
          <w:r>
            <w:instrText xml:space="preserve"> PAGEREF _Toc755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10DE4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核心硬件故障</w:t>
          </w:r>
          <w:r>
            <w:tab/>
          </w:r>
          <w:r>
            <w:fldChar w:fldCharType="begin"/>
          </w:r>
          <w:r>
            <w:instrText xml:space="preserve"> PAGEREF _Toc23461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4D32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安防审计异常</w:t>
          </w:r>
          <w:r>
            <w:tab/>
          </w:r>
          <w:r>
            <w:fldChar w:fldCharType="begin"/>
          </w:r>
          <w:r>
            <w:instrText xml:space="preserve"> PAGEREF _Toc8716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3BF7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网络中断</w:t>
          </w:r>
          <w:r>
            <w:tab/>
          </w:r>
          <w:r>
            <w:fldChar w:fldCharType="begin"/>
          </w:r>
          <w:r>
            <w:instrText xml:space="preserve"> PAGEREF _Toc31186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7DB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安全事件</w:t>
          </w:r>
          <w:r>
            <w:tab/>
          </w:r>
          <w:r>
            <w:fldChar w:fldCharType="begin"/>
          </w:r>
          <w:r>
            <w:instrText xml:space="preserve"> PAGEREF _Toc23614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128B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应急保障</w:t>
          </w:r>
          <w:r>
            <w:tab/>
          </w:r>
          <w:r>
            <w:fldChar w:fldCharType="begin"/>
          </w:r>
          <w:r>
            <w:instrText xml:space="preserve"> PAGEREF _Toc30638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0827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人员保障</w:t>
          </w:r>
          <w:r>
            <w:tab/>
          </w:r>
          <w:r>
            <w:fldChar w:fldCharType="begin"/>
          </w:r>
          <w:r>
            <w:instrText xml:space="preserve"> PAGEREF _Toc7544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E12A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物资保障</w:t>
          </w:r>
          <w:r>
            <w:tab/>
          </w:r>
          <w:r>
            <w:fldChar w:fldCharType="begin"/>
          </w:r>
          <w:r>
            <w:instrText xml:space="preserve"> PAGEREF _Toc17214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13F2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技术保障</w:t>
          </w:r>
          <w:r>
            <w:tab/>
          </w:r>
          <w:r>
            <w:fldChar w:fldCharType="begin"/>
          </w:r>
          <w:r>
            <w:instrText xml:space="preserve"> PAGEREF _Toc20014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D7F1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通讯保障</w:t>
          </w:r>
          <w:r>
            <w:tab/>
          </w:r>
          <w:r>
            <w:fldChar w:fldCharType="begin"/>
          </w:r>
          <w:r>
            <w:instrText xml:space="preserve"> PAGEREF _Toc13191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E8A2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预案管理</w:t>
          </w:r>
          <w:r>
            <w:tab/>
          </w:r>
          <w:r>
            <w:fldChar w:fldCharType="begin"/>
          </w:r>
          <w:r>
            <w:instrText xml:space="preserve"> PAGEREF _Toc16431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06ED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预案培训</w:t>
          </w:r>
          <w:r>
            <w:tab/>
          </w:r>
          <w:r>
            <w:fldChar w:fldCharType="begin"/>
          </w:r>
          <w:r>
            <w:instrText xml:space="preserve"> PAGEREF _Toc13968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9DB3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预案演练</w:t>
          </w:r>
          <w:r>
            <w:tab/>
          </w:r>
          <w:r>
            <w:fldChar w:fldCharType="begin"/>
          </w:r>
          <w:r>
            <w:instrText xml:space="preserve"> PAGEREF _Toc18191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4B89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预案修订</w:t>
          </w:r>
          <w:r>
            <w:tab/>
          </w:r>
          <w:r>
            <w:fldChar w:fldCharType="begin"/>
          </w:r>
          <w:r>
            <w:instrText xml:space="preserve"> PAGEREF _Toc8352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C311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t>复盘总结</w:t>
          </w:r>
          <w:r>
            <w:tab/>
          </w:r>
          <w:r>
            <w:fldChar w:fldCharType="begin"/>
          </w:r>
          <w:r>
            <w:instrText xml:space="preserve"> PAGEREF _Toc243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A24B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_Toc11861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6989D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68B65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60E479B">
      <w:pPr>
        <w:pStyle w:val="28"/>
        <w:bidi w:val="0"/>
      </w:pPr>
      <w:bookmarkStart w:id="1" w:name="heading_2"/>
      <w:bookmarkStart w:id="2" w:name="_Toc21081"/>
      <w:r>
        <w:t>总则</w:t>
      </w:r>
      <w:bookmarkEnd w:id="1"/>
      <w:bookmarkEnd w:id="2"/>
    </w:p>
    <w:p w14:paraId="0AE79597">
      <w:pPr>
        <w:pStyle w:val="30"/>
        <w:bidi w:val="0"/>
      </w:pPr>
      <w:bookmarkStart w:id="3" w:name="heading_3"/>
      <w:bookmarkStart w:id="4" w:name="_Toc10966"/>
      <w:r>
        <w:t>编制目的</w:t>
      </w:r>
      <w:bookmarkEnd w:id="3"/>
      <w:bookmarkEnd w:id="4"/>
    </w:p>
    <w:p w14:paraId="61E1824F">
      <w:pPr>
        <w:pStyle w:val="29"/>
        <w:bidi w:val="0"/>
      </w:pPr>
      <w:r>
        <w:t>为建立健全新余美康盛德医学检验实验室有限公司（以下简称“甲方”）服务器托管项目突发事件应急处置机制，规范应急响应流程，快速、高效、有序地处置各类机房环境、硬件设备、安防系统等突发故障与灾难事件，最大限度降低事件对甲方业务运行及数据安全造成的损失，保障托管设备稳定、持续、安全运行，特制定本预案。</w:t>
      </w:r>
    </w:p>
    <w:p w14:paraId="094CB416">
      <w:pPr>
        <w:pStyle w:val="30"/>
        <w:bidi w:val="0"/>
      </w:pPr>
      <w:bookmarkStart w:id="5" w:name="heading_4"/>
      <w:bookmarkStart w:id="6" w:name="_Toc6453"/>
      <w:r>
        <w:t>适用范围</w:t>
      </w:r>
      <w:bookmarkEnd w:id="5"/>
      <w:bookmarkEnd w:id="6"/>
    </w:p>
    <w:p w14:paraId="26798E3A">
      <w:pPr>
        <w:pStyle w:val="29"/>
        <w:bidi w:val="0"/>
      </w:pPr>
      <w:r>
        <w:t>本预案适用于本项目运维服务期间发生的各类机房环境异常、硬件设备故障、电力中断、安防审计异常等突发事件的预防、预警、处置及后续恢复工作，覆盖运维服务全流程及所有参与运维工作的人员、设备与业务场景。</w:t>
      </w:r>
    </w:p>
    <w:p w14:paraId="35356874">
      <w:pPr>
        <w:pStyle w:val="30"/>
        <w:bidi w:val="0"/>
      </w:pPr>
      <w:bookmarkStart w:id="7" w:name="heading_5"/>
      <w:bookmarkStart w:id="8" w:name="_Toc3974"/>
      <w:r>
        <w:t>工作原则</w:t>
      </w:r>
      <w:bookmarkEnd w:id="7"/>
      <w:bookmarkEnd w:id="8"/>
    </w:p>
    <w:p w14:paraId="23DF7F99">
      <w:pPr>
        <w:pStyle w:val="29"/>
        <w:bidi w:val="0"/>
      </w:pPr>
      <w:r>
        <w:t>预防为主，防治结合：常态化开展风险排查与隐患整改，加强机房环境巡检、硬件状态监控及应急演练，提前防范各类潜在风险，做到早发现、早预警、早处置。</w:t>
      </w:r>
    </w:p>
    <w:p w14:paraId="0FA2E833">
      <w:pPr>
        <w:pStyle w:val="29"/>
        <w:bidi w:val="0"/>
      </w:pPr>
      <w:r>
        <w:t>分级响应，快速处置：根据突发事件的严重程度划分故障等级，对应启动不同层级的应急响应，明确各层级处置权限与流程，确保响应及时、处置高效。</w:t>
      </w:r>
    </w:p>
    <w:p w14:paraId="08EBECA1">
      <w:pPr>
        <w:pStyle w:val="29"/>
        <w:bidi w:val="0"/>
      </w:pPr>
      <w:r>
        <w:t>协同联动，权责清晰：明确应急组织架构中各部门、各岗位的职责分工，加强内部协同及与甲方、数据中心运维方、设备厂商等外部单位的联动配合，形成应急处置合力。</w:t>
      </w:r>
    </w:p>
    <w:p w14:paraId="07177F72">
      <w:pPr>
        <w:pStyle w:val="29"/>
        <w:bidi w:val="0"/>
      </w:pPr>
      <w:r>
        <w:t>闭环管理，持续优化：应急事件处置完成后，及时开展复盘总结，分析事件原因、评估处置效果，优化应急预案与运维策略，持续提升应急处置能力。</w:t>
      </w:r>
    </w:p>
    <w:p w14:paraId="20F9FF14">
      <w:pPr>
        <w:pStyle w:val="28"/>
        <w:bidi w:val="0"/>
      </w:pPr>
      <w:bookmarkStart w:id="9" w:name="heading_6"/>
      <w:bookmarkStart w:id="10" w:name="_Toc11637"/>
      <w:r>
        <w:t>应急组织架构与职责</w:t>
      </w:r>
      <w:bookmarkEnd w:id="9"/>
      <w:bookmarkEnd w:id="10"/>
    </w:p>
    <w:p w14:paraId="6343FC57">
      <w:pPr>
        <w:pStyle w:val="30"/>
        <w:bidi w:val="0"/>
      </w:pPr>
      <w:bookmarkStart w:id="11" w:name="heading_7"/>
      <w:bookmarkStart w:id="12" w:name="_Toc16755"/>
      <w:r>
        <w:t>应急</w:t>
      </w:r>
      <w:r>
        <w:rPr>
          <w:rFonts w:hint="eastAsia"/>
          <w:lang w:val="en-US" w:eastAsia="zh-CN"/>
        </w:rPr>
        <w:t>管理</w:t>
      </w:r>
      <w:r>
        <w:t>部</w:t>
      </w:r>
      <w:bookmarkEnd w:id="11"/>
      <w:bookmarkEnd w:id="12"/>
    </w:p>
    <w:p w14:paraId="6612D9FF">
      <w:pPr>
        <w:pStyle w:val="29"/>
        <w:bidi w:val="0"/>
      </w:pPr>
      <w:r>
        <w:t>成立应急</w:t>
      </w:r>
      <w:r>
        <w:rPr>
          <w:rFonts w:hint="eastAsia"/>
          <w:lang w:val="en-US" w:eastAsia="zh-CN"/>
        </w:rPr>
        <w:t>管理</w:t>
      </w:r>
      <w:r>
        <w:t>部作为应急处置核心决策机构：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6"/>
        <w:gridCol w:w="1765"/>
        <w:gridCol w:w="5651"/>
      </w:tblGrid>
      <w:tr w14:paraId="2A31B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72C8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职务</w:t>
            </w:r>
          </w:p>
        </w:tc>
        <w:tc>
          <w:tcPr>
            <w:tcW w:w="17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AD8B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565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7FA89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15553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C5C3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总指挥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00B1B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运维部部长</w:t>
            </w:r>
          </w:p>
        </w:tc>
        <w:tc>
          <w:tcPr>
            <w:tcW w:w="565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BD346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负责应急预案的启动与终止审批，制定重大应急处置决策；统筹协调应急资源，协调外部支持力量；监督应急处置全过程，评估应急处置效果</w:t>
            </w:r>
          </w:p>
        </w:tc>
      </w:tr>
      <w:tr w14:paraId="1BD1A9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A508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副总指挥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57EE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sz w:val="24"/>
                <w:lang w:val="en-US" w:eastAsia="zh-CN"/>
              </w:rPr>
            </w:pPr>
            <w:bookmarkStart w:id="69" w:name="_GoBack"/>
            <w:r>
              <w:rPr>
                <w:rFonts w:ascii="Arial" w:eastAsia="宋体"/>
                <w:sz w:val="24"/>
              </w:rPr>
              <w:t>运维项目部</w:t>
            </w:r>
            <w:r>
              <w:rPr>
                <w:rFonts w:hint="eastAsia" w:ascii="Arial" w:eastAsia="宋体"/>
                <w:sz w:val="24"/>
                <w:lang w:val="en-US" w:eastAsia="zh-CN"/>
              </w:rPr>
              <w:t>长</w:t>
            </w:r>
            <w:bookmarkEnd w:id="69"/>
          </w:p>
        </w:tc>
        <w:tc>
          <w:tcPr>
            <w:tcW w:w="565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AFDF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协调甲方内部资源，确认恢复结果，参与重大决策</w:t>
            </w:r>
          </w:p>
        </w:tc>
      </w:tr>
      <w:tr w14:paraId="33F61A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F716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成员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2C6CB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技术专家、质量管理人员</w:t>
            </w:r>
          </w:p>
        </w:tc>
        <w:tc>
          <w:tcPr>
            <w:tcW w:w="56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E5D1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参与应急决策，提供技术支持，监督处置过程</w:t>
            </w:r>
          </w:p>
        </w:tc>
      </w:tr>
    </w:tbl>
    <w:p w14:paraId="003F459F">
      <w:pPr>
        <w:pStyle w:val="30"/>
        <w:bidi w:val="0"/>
      </w:pPr>
      <w:bookmarkStart w:id="13" w:name="heading_8"/>
      <w:bookmarkStart w:id="14" w:name="_Toc10949"/>
      <w:r>
        <w:t>专项应急工作组</w:t>
      </w:r>
      <w:bookmarkEnd w:id="13"/>
      <w:bookmarkEnd w:id="14"/>
    </w:p>
    <w:p w14:paraId="737AD143">
      <w:pPr>
        <w:pStyle w:val="29"/>
        <w:bidi w:val="0"/>
      </w:pPr>
      <w:r>
        <w:rPr>
          <w:rFonts w:hint="eastAsia"/>
          <w:lang w:eastAsia="zh-CN"/>
        </w:rPr>
        <w:t>应急管理部</w:t>
      </w:r>
      <w:r>
        <w:t>下设4个专项应急工作组：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98"/>
        <w:gridCol w:w="1435"/>
        <w:gridCol w:w="5789"/>
      </w:tblGrid>
      <w:tr w14:paraId="374EC9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1B6B0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工作组</w:t>
            </w:r>
          </w:p>
        </w:tc>
        <w:tc>
          <w:tcPr>
            <w:tcW w:w="14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26F5B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部门/人员</w:t>
            </w:r>
          </w:p>
        </w:tc>
        <w:tc>
          <w:tcPr>
            <w:tcW w:w="579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AC148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核心职责</w:t>
            </w:r>
          </w:p>
        </w:tc>
      </w:tr>
      <w:tr w14:paraId="268EF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D0DF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技术保障组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2DAD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运维工程师</w:t>
            </w:r>
          </w:p>
        </w:tc>
        <w:tc>
          <w:tcPr>
            <w:tcW w:w="57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7067E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负责故障诊断、技术方案制定与实施，开展硬件恢复、环境修复、安防审计恢复等工作</w:t>
            </w:r>
          </w:p>
        </w:tc>
      </w:tr>
      <w:tr w14:paraId="71EC2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AA57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现场抢险组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C2522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数据中心运维人员</w:t>
            </w:r>
          </w:p>
        </w:tc>
        <w:tc>
          <w:tcPr>
            <w:tcW w:w="57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8330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负责现场初期险情控制（如断电隔离、环境应急处理等），保护关键设备，执行现场设备更换配合</w:t>
            </w:r>
          </w:p>
        </w:tc>
      </w:tr>
      <w:tr w14:paraId="5AFA9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4204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信息联络组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403D5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</w:t>
            </w:r>
          </w:p>
        </w:tc>
        <w:tc>
          <w:tcPr>
            <w:tcW w:w="57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C94D7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负责应急信息的上传下达，记录应急处置过程，对接甲方及外部单位（厂商、数据中心），发布处置进展</w:t>
            </w:r>
          </w:p>
        </w:tc>
      </w:tr>
      <w:tr w14:paraId="1C4684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A56F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后勤支持组</w:t>
            </w:r>
          </w:p>
        </w:tc>
        <w:tc>
          <w:tcPr>
            <w:tcW w:w="14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B1BD3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采购部、人力部</w:t>
            </w:r>
          </w:p>
        </w:tc>
        <w:tc>
          <w:tcPr>
            <w:tcW w:w="57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0C849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负责应急物资调配、厂商联系、交通保障、经费支持及后勤服务</w:t>
            </w:r>
          </w:p>
        </w:tc>
      </w:tr>
    </w:tbl>
    <w:p w14:paraId="59AA8063">
      <w:pPr>
        <w:pStyle w:val="28"/>
        <w:bidi w:val="0"/>
      </w:pPr>
      <w:bookmarkStart w:id="15" w:name="heading_9"/>
      <w:bookmarkStart w:id="16" w:name="_Toc29402"/>
      <w:r>
        <w:t>风险分级与响应机制</w:t>
      </w:r>
      <w:bookmarkEnd w:id="15"/>
      <w:bookmarkEnd w:id="16"/>
    </w:p>
    <w:p w14:paraId="420D8FCA">
      <w:pPr>
        <w:pStyle w:val="30"/>
        <w:bidi w:val="0"/>
      </w:pPr>
      <w:bookmarkStart w:id="17" w:name="heading_10"/>
      <w:bookmarkStart w:id="18" w:name="_Toc29353"/>
      <w:r>
        <w:t>风险分级标准</w:t>
      </w:r>
      <w:bookmarkEnd w:id="17"/>
      <w:bookmarkEnd w:id="18"/>
    </w:p>
    <w:p w14:paraId="3A63E310">
      <w:pPr>
        <w:pStyle w:val="29"/>
        <w:bidi w:val="0"/>
      </w:pPr>
      <w:r>
        <w:t>结合服务器托管服务特点及对甲方业务的影响，将突发事件划分为四级：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4"/>
        <w:gridCol w:w="5631"/>
        <w:gridCol w:w="1527"/>
      </w:tblGrid>
      <w:tr w14:paraId="565C25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B8AA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故障级别</w:t>
            </w:r>
          </w:p>
        </w:tc>
        <w:tc>
          <w:tcPr>
            <w:tcW w:w="56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BEDB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故障特征</w:t>
            </w:r>
          </w:p>
        </w:tc>
        <w:tc>
          <w:tcPr>
            <w:tcW w:w="15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7079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对应SLA等级</w:t>
            </w:r>
          </w:p>
        </w:tc>
      </w:tr>
      <w:tr w14:paraId="3825E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E4E2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Ⅰ级（特别重大故障）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59B03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机房环境严重异常（电力中断、空调失效），导致托管设备全部宕机；核心硬件（服务器/存储）全部故障；发生火灾等灾难性事件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FD3B3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P1</w:t>
            </w:r>
          </w:p>
        </w:tc>
      </w:tr>
      <w:tr w14:paraId="58849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18494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Ⅱ级（重大故障）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4BC44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核心硬件（服务器/存储）单台宕机，影响业务运行；安防审计系统全面失效；电力单路中断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BAD5A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P1</w:t>
            </w:r>
          </w:p>
        </w:tc>
      </w:tr>
      <w:tr w14:paraId="40D57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162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Ⅲ级（较大故障）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CBA5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硬件告警（磁盘预警、温度异常）；安防审计异常（Agent离线、日志中断）；空调温度瞬时偏高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9EC2C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P2</w:t>
            </w:r>
          </w:p>
        </w:tc>
      </w:tr>
      <w:tr w14:paraId="33CA2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7620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Ⅳ级（一般故障）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814A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设备上下架咨询、硬件状态查询、配置调整等，完全不影响甲方业务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A8C3A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P3</w:t>
            </w:r>
          </w:p>
        </w:tc>
      </w:tr>
    </w:tbl>
    <w:p w14:paraId="200DA327">
      <w:pPr>
        <w:pStyle w:val="30"/>
        <w:bidi w:val="0"/>
      </w:pPr>
      <w:bookmarkStart w:id="19" w:name="heading_11"/>
      <w:bookmarkStart w:id="20" w:name="_Toc32386"/>
      <w:r>
        <w:t>分级响应流程</w:t>
      </w:r>
      <w:bookmarkEnd w:id="19"/>
      <w:bookmarkEnd w:id="20"/>
    </w:p>
    <w:tbl>
      <w:tblPr>
        <w:tblStyle w:val="20"/>
        <w:tblW w:w="973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66"/>
        <w:gridCol w:w="1967"/>
        <w:gridCol w:w="1988"/>
        <w:gridCol w:w="1375"/>
        <w:gridCol w:w="3535"/>
      </w:tblGrid>
      <w:tr w14:paraId="3966F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6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C8B3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故障级别</w:t>
            </w:r>
          </w:p>
        </w:tc>
        <w:tc>
          <w:tcPr>
            <w:tcW w:w="19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1742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启动层级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7869B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响应时限</w:t>
            </w:r>
          </w:p>
        </w:tc>
        <w:tc>
          <w:tcPr>
            <w:tcW w:w="137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A372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处置方案提交时限</w:t>
            </w:r>
          </w:p>
        </w:tc>
        <w:tc>
          <w:tcPr>
            <w:tcW w:w="353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85A5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关键要求</w:t>
            </w:r>
          </w:p>
        </w:tc>
      </w:tr>
      <w:tr w14:paraId="7EFA5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3C26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Ⅰ级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7465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eastAsia="zh-CN"/>
              </w:rPr>
              <w:t>应急管理部</w:t>
            </w:r>
            <w:r>
              <w:rPr>
                <w:rFonts w:ascii="Arial" w:eastAsia="宋体"/>
                <w:sz w:val="24"/>
              </w:rPr>
              <w:t>总指挥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EDD74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5分钟内响应，现场人员立即处置</w:t>
            </w:r>
          </w:p>
        </w:tc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3AEE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30分钟内</w:t>
            </w:r>
          </w:p>
        </w:tc>
        <w:tc>
          <w:tcPr>
            <w:tcW w:w="35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9085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全员投入，协调数据中心、设备厂商等全力处置</w:t>
            </w:r>
          </w:p>
        </w:tc>
      </w:tr>
      <w:tr w14:paraId="6D323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9A0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Ⅱ级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B8524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副总指挥（运维项目部长）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767D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10分钟内响应</w:t>
            </w:r>
          </w:p>
        </w:tc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F3EFE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40分钟内</w:t>
            </w:r>
          </w:p>
        </w:tc>
        <w:tc>
          <w:tcPr>
            <w:tcW w:w="35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1D10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技术保障组核心成员主导，必要时请求厂商技术支持</w:t>
            </w:r>
          </w:p>
        </w:tc>
      </w:tr>
      <w:tr w14:paraId="577C5E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6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E66A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Ⅲ级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CD4D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技术保障组组长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1EF96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10分钟内响应</w:t>
            </w:r>
          </w:p>
        </w:tc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A128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1小时内</w:t>
            </w:r>
          </w:p>
        </w:tc>
        <w:tc>
          <w:tcPr>
            <w:tcW w:w="353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66A39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现场技术人员开展处置，依托内部技术资源解决</w:t>
            </w:r>
          </w:p>
        </w:tc>
      </w:tr>
      <w:tr w14:paraId="5D2C17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6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B596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Ⅳ级</w:t>
            </w:r>
          </w:p>
        </w:tc>
        <w:tc>
          <w:tcPr>
            <w:tcW w:w="19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89F6F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现场运维人员</w:t>
            </w:r>
          </w:p>
        </w:tc>
        <w:tc>
          <w:tcPr>
            <w:tcW w:w="19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75EA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10分钟内响应</w:t>
            </w:r>
          </w:p>
        </w:tc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7105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30分钟内</w:t>
            </w:r>
          </w:p>
        </w:tc>
        <w:tc>
          <w:tcPr>
            <w:tcW w:w="35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7279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快速完成问题处理，必要时远程支持</w:t>
            </w:r>
          </w:p>
        </w:tc>
      </w:tr>
    </w:tbl>
    <w:p w14:paraId="218E77D1">
      <w:pPr>
        <w:pStyle w:val="28"/>
        <w:bidi w:val="0"/>
      </w:pPr>
      <w:bookmarkStart w:id="21" w:name="heading_12"/>
      <w:bookmarkStart w:id="22" w:name="_Toc16086"/>
      <w:r>
        <w:t>应急处置通用流程</w:t>
      </w:r>
      <w:bookmarkEnd w:id="21"/>
      <w:bookmarkEnd w:id="22"/>
    </w:p>
    <w:p w14:paraId="3305BB5E">
      <w:pPr>
        <w:pStyle w:val="30"/>
        <w:bidi w:val="0"/>
      </w:pPr>
      <w:bookmarkStart w:id="23" w:name="heading_13"/>
      <w:bookmarkStart w:id="24" w:name="_Toc302"/>
      <w:r>
        <w:t>预警与上报</w:t>
      </w:r>
      <w:bookmarkEnd w:id="23"/>
      <w:bookmarkEnd w:id="24"/>
    </w:p>
    <w:p w14:paraId="3D32E633">
      <w:pPr>
        <w:pStyle w:val="29"/>
        <w:bidi w:val="0"/>
      </w:pPr>
      <w:r>
        <w:t>运维人员通过监控平台、日常巡检、甲方反馈等渠道发现异常后，立即进行初步核查，判定故障级别。</w:t>
      </w:r>
    </w:p>
    <w:p w14:paraId="57E2025C">
      <w:pPr>
        <w:pStyle w:val="29"/>
        <w:bidi w:val="0"/>
      </w:pPr>
      <w:r>
        <w:t>Ⅰ、Ⅱ级故障需在5分钟内上报</w:t>
      </w:r>
      <w:r>
        <w:rPr>
          <w:rFonts w:hint="eastAsia"/>
          <w:lang w:eastAsia="zh-CN"/>
        </w:rPr>
        <w:t>应急管理部</w:t>
      </w:r>
      <w:r>
        <w:t>，同时通知相关专项工作组；Ⅲ、Ⅳ级故障在10分钟内上报技术保障组组长。</w:t>
      </w:r>
    </w:p>
    <w:p w14:paraId="094F1B31">
      <w:pPr>
        <w:pStyle w:val="29"/>
        <w:bidi w:val="0"/>
      </w:pPr>
      <w:r>
        <w:t>上报内容需包含：故障发生时间、地点、现象、影响范围、初步判定级别及已采取的临时措施。</w:t>
      </w:r>
    </w:p>
    <w:p w14:paraId="319D53C5">
      <w:pPr>
        <w:pStyle w:val="30"/>
        <w:bidi w:val="0"/>
      </w:pPr>
      <w:bookmarkStart w:id="25" w:name="heading_14"/>
      <w:bookmarkStart w:id="26" w:name="_Toc25437"/>
      <w:r>
        <w:t>应急启动</w:t>
      </w:r>
      <w:bookmarkEnd w:id="25"/>
      <w:bookmarkEnd w:id="26"/>
    </w:p>
    <w:p w14:paraId="277DC7EE">
      <w:pPr>
        <w:pStyle w:val="29"/>
        <w:bidi w:val="0"/>
      </w:pPr>
      <w:r>
        <w:rPr>
          <w:rFonts w:hint="eastAsia"/>
          <w:lang w:eastAsia="zh-CN"/>
        </w:rPr>
        <w:t>应急管理部</w:t>
      </w:r>
      <w:r>
        <w:t>或对应负责人接到上报后，根据故障级别下达应急启动指令，明确各工作组任务分工，同步做好信息通报工作（如告知甲方、数据中心、相关厂商等）。</w:t>
      </w:r>
    </w:p>
    <w:p w14:paraId="63F17942">
      <w:pPr>
        <w:pStyle w:val="30"/>
        <w:bidi w:val="0"/>
      </w:pPr>
      <w:bookmarkStart w:id="27" w:name="heading_15"/>
      <w:bookmarkStart w:id="28" w:name="_Toc26522"/>
      <w:r>
        <w:t>现场处置</w:t>
      </w:r>
      <w:bookmarkEnd w:id="27"/>
      <w:bookmarkEnd w:id="28"/>
    </w:p>
    <w:p w14:paraId="64877363">
      <w:pPr>
        <w:pStyle w:val="29"/>
        <w:bidi w:val="0"/>
      </w:pPr>
      <w:r>
        <w:t>各专项工作组按照指令开展协同处置，优先采取临时保障措施减少损失，如启动备用电力、隔离故障设备、切换至备用链路等，再逐步实施根治性解决方案。处置过程中及时向指挥部汇报进展，遇突发情况随时请求支援。</w:t>
      </w:r>
    </w:p>
    <w:p w14:paraId="66FF35B7">
      <w:pPr>
        <w:pStyle w:val="30"/>
        <w:bidi w:val="0"/>
      </w:pPr>
      <w:bookmarkStart w:id="29" w:name="heading_16"/>
      <w:bookmarkStart w:id="30" w:name="_Toc10033"/>
      <w:r>
        <w:t>恢复与验收</w:t>
      </w:r>
      <w:bookmarkEnd w:id="29"/>
      <w:bookmarkEnd w:id="30"/>
    </w:p>
    <w:p w14:paraId="15D72E61">
      <w:pPr>
        <w:pStyle w:val="29"/>
        <w:bidi w:val="0"/>
      </w:pPr>
      <w:r>
        <w:t>故障处置完成后，技术保障组对机房环境、硬件状态、安防审计进行全面检测，确认达到恢复标准后，逐步恢复正常运行；信息联络组向甲方提交处置结果报告，获取甲方签字确认。</w:t>
      </w:r>
    </w:p>
    <w:p w14:paraId="2F6E0F45">
      <w:pPr>
        <w:pStyle w:val="30"/>
        <w:bidi w:val="0"/>
      </w:pPr>
      <w:bookmarkStart w:id="31" w:name="heading_17"/>
      <w:bookmarkStart w:id="32" w:name="_Toc23923"/>
      <w:r>
        <w:t>应急终止</w:t>
      </w:r>
      <w:bookmarkEnd w:id="31"/>
      <w:bookmarkEnd w:id="32"/>
    </w:p>
    <w:p w14:paraId="5869A33D">
      <w:pPr>
        <w:pStyle w:val="29"/>
        <w:bidi w:val="0"/>
      </w:pPr>
      <w:r>
        <w:t>系统完全恢复正常运行，甲方验收通过后，</w:t>
      </w:r>
      <w:r>
        <w:rPr>
          <w:rFonts w:hint="eastAsia"/>
          <w:lang w:eastAsia="zh-CN"/>
        </w:rPr>
        <w:t>应急管理部</w:t>
      </w:r>
      <w:r>
        <w:t>下达应急终止指令，各工作组结束应急任务，转入日常运维状态。</w:t>
      </w:r>
    </w:p>
    <w:p w14:paraId="1B3981B7">
      <w:pPr>
        <w:pStyle w:val="28"/>
        <w:bidi w:val="0"/>
      </w:pPr>
      <w:bookmarkStart w:id="33" w:name="heading_18"/>
      <w:bookmarkStart w:id="34" w:name="_Toc3530"/>
      <w:r>
        <w:t>专项应急处置方案</w:t>
      </w:r>
      <w:bookmarkEnd w:id="33"/>
      <w:bookmarkEnd w:id="34"/>
    </w:p>
    <w:p w14:paraId="58380A08">
      <w:pPr>
        <w:pStyle w:val="30"/>
        <w:bidi w:val="0"/>
      </w:pPr>
      <w:bookmarkStart w:id="35" w:name="heading_19"/>
      <w:bookmarkStart w:id="36" w:name="_Toc11490"/>
      <w:r>
        <w:t>机房电力中断</w:t>
      </w:r>
      <w:bookmarkEnd w:id="35"/>
      <w:bookmarkEnd w:id="36"/>
    </w:p>
    <w:p w14:paraId="032C9597">
      <w:pPr>
        <w:pStyle w:val="29"/>
        <w:bidi w:val="0"/>
      </w:pPr>
      <w:r>
        <w:t>症状：市电供应中断，UPS开始放电，柴油发电机未自动启动，托管设备面临断电风险。</w:t>
      </w:r>
    </w:p>
    <w:p w14:paraId="5912AD14">
      <w:pPr>
        <w:pStyle w:val="29"/>
        <w:bidi w:val="0"/>
      </w:pPr>
      <w:r>
        <w:t>处置步骤：</w:t>
      </w:r>
    </w:p>
    <w:p w14:paraId="7D835560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立即确认UPS剩余供电时间，通报</w:t>
      </w:r>
      <w:r>
        <w:rPr>
          <w:rFonts w:hint="eastAsia"/>
          <w:lang w:eastAsia="zh-CN"/>
        </w:rPr>
        <w:t>应急管理部</w:t>
      </w:r>
      <w:r>
        <w:t>；</w:t>
      </w:r>
    </w:p>
    <w:p w14:paraId="7A8E4082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手动启动柴油发电机，若发电机故障，立即联系数据中心运维方抢修；</w:t>
      </w:r>
    </w:p>
    <w:p w14:paraId="7AAC9BD5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评估电力恢复时间，若UPS供电时间不足，按优先级逐步关闭非核心设备；</w:t>
      </w:r>
    </w:p>
    <w:p w14:paraId="186318A1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电力恢复后，逐步重启设备，验证硬件状态和网络连通性；</w:t>
      </w:r>
    </w:p>
    <w:p w14:paraId="0CD04DF8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分析故障原因，优化电力保障预案。</w:t>
      </w:r>
    </w:p>
    <w:p w14:paraId="4FA95097">
      <w:pPr>
        <w:pStyle w:val="30"/>
        <w:bidi w:val="0"/>
      </w:pPr>
      <w:bookmarkStart w:id="37" w:name="heading_20"/>
      <w:bookmarkStart w:id="38" w:name="_Toc755"/>
      <w:r>
        <w:t>机房空调故障</w:t>
      </w:r>
      <w:bookmarkEnd w:id="37"/>
      <w:bookmarkEnd w:id="38"/>
    </w:p>
    <w:p w14:paraId="7679A12B">
      <w:pPr>
        <w:pStyle w:val="29"/>
        <w:bidi w:val="0"/>
      </w:pPr>
      <w:r>
        <w:t>症状：空调停止工作，机房温度/湿度异常升高，设备可能过热宕机。</w:t>
      </w:r>
    </w:p>
    <w:p w14:paraId="32423758">
      <w:pPr>
        <w:pStyle w:val="29"/>
        <w:bidi w:val="0"/>
      </w:pPr>
      <w:r>
        <w:t>处置步骤：</w:t>
      </w:r>
    </w:p>
    <w:p w14:paraId="37CEA9E8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立即通报</w:t>
      </w:r>
      <w:r>
        <w:rPr>
          <w:rFonts w:hint="eastAsia"/>
          <w:lang w:eastAsia="zh-CN"/>
        </w:rPr>
        <w:t>应急管理部</w:t>
      </w:r>
      <w:r>
        <w:t>，通知数据中心运维方；</w:t>
      </w:r>
    </w:p>
    <w:p w14:paraId="4D56AA0E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开启备用空调或应急降温设备（如移动空调、风扇）；</w:t>
      </w:r>
    </w:p>
    <w:p w14:paraId="35A472A3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打开机房通风口，临时降低温度；</w:t>
      </w:r>
    </w:p>
    <w:p w14:paraId="5D701BED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若温度持续升高，按优先级逐步关闭非核心设备；</w:t>
      </w:r>
    </w:p>
    <w:p w14:paraId="478DF1F8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空调修复后，恢复正常环境，验证设备运行状态；</w:t>
      </w:r>
    </w:p>
    <w:p w14:paraId="37E1A396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分析故障原因，优化空调监控阈值和预警机制。</w:t>
      </w:r>
    </w:p>
    <w:p w14:paraId="0D82BAA8">
      <w:pPr>
        <w:pStyle w:val="30"/>
        <w:bidi w:val="0"/>
      </w:pPr>
      <w:bookmarkStart w:id="39" w:name="heading_21"/>
      <w:bookmarkStart w:id="40" w:name="_Toc23461"/>
      <w:r>
        <w:t>核心硬件故障</w:t>
      </w:r>
      <w:bookmarkEnd w:id="39"/>
      <w:bookmarkEnd w:id="40"/>
    </w:p>
    <w:p w14:paraId="5A405DAE">
      <w:pPr>
        <w:pStyle w:val="29"/>
        <w:bidi w:val="0"/>
      </w:pPr>
      <w:r>
        <w:t>症状：服务器宕机、硬盘故障、内存报错、电源失效。</w:t>
      </w:r>
    </w:p>
    <w:p w14:paraId="07A7DEE7">
      <w:pPr>
        <w:pStyle w:val="29"/>
        <w:bidi w:val="0"/>
      </w:pPr>
      <w:r>
        <w:t>处置步骤：</w:t>
      </w:r>
    </w:p>
    <w:p w14:paraId="7E04B0E2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快速判定故障类型和影响范围；</w:t>
      </w:r>
    </w:p>
    <w:p w14:paraId="03F47C9B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若为单台设备故障，尝试将业务切换至备用设备（如有）；</w:t>
      </w:r>
    </w:p>
    <w:p w14:paraId="7B0CA9B0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收集故障信息（日志、告警、状态灯），初步诊断故障原因；</w:t>
      </w:r>
    </w:p>
    <w:p w14:paraId="39AC5D01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立即联系设备厂商，提交报修申请，全程跟踪报修进度；</w:t>
      </w:r>
    </w:p>
    <w:p w14:paraId="2E2ECCE8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向甲方提供临时环境建议（如资源调整、业务迁移等）；</w:t>
      </w:r>
    </w:p>
    <w:p w14:paraId="279D1FEC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硬件修复后，验证设备状态，恢复业务运行。</w:t>
      </w:r>
    </w:p>
    <w:p w14:paraId="3B0F5ACE">
      <w:pPr>
        <w:pStyle w:val="30"/>
        <w:bidi w:val="0"/>
      </w:pPr>
      <w:bookmarkStart w:id="41" w:name="heading_22"/>
      <w:bookmarkStart w:id="42" w:name="_Toc8716"/>
      <w:r>
        <w:t>安防审计异常</w:t>
      </w:r>
      <w:bookmarkEnd w:id="41"/>
      <w:bookmarkEnd w:id="42"/>
    </w:p>
    <w:p w14:paraId="02A0C704">
      <w:pPr>
        <w:pStyle w:val="29"/>
        <w:bidi w:val="0"/>
      </w:pPr>
      <w:r>
        <w:t>症状：数据库审计Agent离线、日志审计系统停止收集、审计日志缺失。</w:t>
      </w:r>
    </w:p>
    <w:p w14:paraId="4C5916E0">
      <w:pPr>
        <w:pStyle w:val="29"/>
        <w:bidi w:val="0"/>
      </w:pPr>
      <w:r>
        <w:t>处置步骤：</w:t>
      </w:r>
    </w:p>
    <w:p w14:paraId="5C9CDFD4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确认异常范围和影响程度；</w:t>
      </w:r>
    </w:p>
    <w:p w14:paraId="5CF44506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尝试重启审计Agent或审计系统服务；</w:t>
      </w:r>
    </w:p>
    <w:p w14:paraId="2EE4E4ED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检查网络连通性和端口状态，排除网络故障；</w:t>
      </w:r>
    </w:p>
    <w:p w14:paraId="603A6CEA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若无法恢复，联系审计系统厂商技术支持；</w:t>
      </w:r>
    </w:p>
    <w:p w14:paraId="46D49251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恢复后验证日志完整性，确认无安全事件遗漏；</w:t>
      </w:r>
    </w:p>
    <w:p w14:paraId="3407C77F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分析故障原因，优化审计规则和监控机制。</w:t>
      </w:r>
    </w:p>
    <w:p w14:paraId="708DCB5F">
      <w:pPr>
        <w:pStyle w:val="30"/>
        <w:bidi w:val="0"/>
      </w:pPr>
      <w:bookmarkStart w:id="43" w:name="heading_23"/>
      <w:bookmarkStart w:id="44" w:name="_Toc31186"/>
      <w:r>
        <w:t>网络中断</w:t>
      </w:r>
      <w:bookmarkEnd w:id="43"/>
      <w:bookmarkEnd w:id="44"/>
    </w:p>
    <w:p w14:paraId="11B0FB48">
      <w:pPr>
        <w:pStyle w:val="29"/>
        <w:bidi w:val="0"/>
      </w:pPr>
      <w:r>
        <w:t>症状：托管设备无法访问、远程运维中断、网络延迟极高。</w:t>
      </w:r>
    </w:p>
    <w:p w14:paraId="307E22AE">
      <w:pPr>
        <w:pStyle w:val="29"/>
        <w:bidi w:val="0"/>
      </w:pPr>
      <w:r>
        <w:t>处置步骤：</w:t>
      </w:r>
    </w:p>
    <w:p w14:paraId="538C9242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快速判定中断原因（数据中心网络故障、运营商线路中断、设备故障等）；</w:t>
      </w:r>
    </w:p>
    <w:p w14:paraId="4C38BC46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若为设备故障，通知数据中心运维方更换备用设备；</w:t>
      </w:r>
    </w:p>
    <w:p w14:paraId="103F8818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若为运营商线路中断，立即联系运营商报修，每30分钟跟进一次进度；</w:t>
      </w:r>
    </w:p>
    <w:p w14:paraId="115ED42F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若为数据中心内部网络问题，协调数据中心运维方排查；</w:t>
      </w:r>
    </w:p>
    <w:p w14:paraId="49FB34E2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网络恢复后，全面验证设备连通性和服务可用性。</w:t>
      </w:r>
    </w:p>
    <w:p w14:paraId="248A949C">
      <w:pPr>
        <w:pStyle w:val="30"/>
        <w:bidi w:val="0"/>
      </w:pPr>
      <w:bookmarkStart w:id="45" w:name="heading_24"/>
      <w:bookmarkStart w:id="46" w:name="_Toc23614"/>
      <w:r>
        <w:t>安全事件</w:t>
      </w:r>
      <w:bookmarkEnd w:id="45"/>
      <w:bookmarkEnd w:id="46"/>
    </w:p>
    <w:p w14:paraId="3EE6A410">
      <w:pPr>
        <w:pStyle w:val="29"/>
        <w:bidi w:val="0"/>
      </w:pPr>
      <w:r>
        <w:t>症状：发现异常访问、审计日志异常、疑似入侵行为。</w:t>
      </w:r>
    </w:p>
    <w:p w14:paraId="42A31D05">
      <w:pPr>
        <w:pStyle w:val="29"/>
        <w:bidi w:val="0"/>
      </w:pPr>
      <w:r>
        <w:t>处置步骤：</w:t>
      </w:r>
    </w:p>
    <w:p w14:paraId="22AB7A23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立即通报</w:t>
      </w:r>
      <w:r>
        <w:rPr>
          <w:rFonts w:hint="eastAsia"/>
          <w:lang w:eastAsia="zh-CN"/>
        </w:rPr>
        <w:t>应急管理部</w:t>
      </w:r>
      <w:r>
        <w:t>，启动安全事件响应；</w:t>
      </w:r>
    </w:p>
    <w:p w14:paraId="32CEAC1E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保留现场证据（日志、告警记录、网络流量）；</w:t>
      </w:r>
    </w:p>
    <w:p w14:paraId="616B0142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排查入侵途径，分析攻击源；</w:t>
      </w:r>
    </w:p>
    <w:p w14:paraId="197103D5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修复漏洞，加固安全策略（修改密码、调整防火墙规则）；</w:t>
      </w:r>
    </w:p>
    <w:p w14:paraId="62F5CDC8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必要时按法律法规要求上报相关部门；</w:t>
      </w:r>
    </w:p>
    <w:p w14:paraId="02F30BFD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形成安全事件报告，总结经验教训。</w:t>
      </w:r>
    </w:p>
    <w:p w14:paraId="1198CB5D">
      <w:pPr>
        <w:pStyle w:val="28"/>
        <w:bidi w:val="0"/>
      </w:pPr>
      <w:bookmarkStart w:id="47" w:name="heading_25"/>
      <w:bookmarkStart w:id="48" w:name="_Toc30638"/>
      <w:r>
        <w:t>应急保障</w:t>
      </w:r>
      <w:bookmarkEnd w:id="47"/>
      <w:bookmarkEnd w:id="48"/>
    </w:p>
    <w:p w14:paraId="1DF69DAA">
      <w:pPr>
        <w:pStyle w:val="30"/>
        <w:bidi w:val="0"/>
      </w:pPr>
      <w:bookmarkStart w:id="49" w:name="heading_26"/>
      <w:bookmarkStart w:id="50" w:name="_Toc7544"/>
      <w:r>
        <w:t>人员保障</w:t>
      </w:r>
      <w:bookmarkEnd w:id="49"/>
      <w:bookmarkEnd w:id="50"/>
    </w:p>
    <w:p w14:paraId="5D2200AC">
      <w:pPr>
        <w:pStyle w:val="29"/>
        <w:bidi w:val="0"/>
      </w:pPr>
      <w:r>
        <w:t>组建应急后备人才库，涵盖机房环境、硬件、网络、安全等多个领域的专业技术人员，定期开展应急技能培训与考核；每年组织不少于1次的应急演练，提升团队协同处置能力。</w:t>
      </w:r>
    </w:p>
    <w:p w14:paraId="24B32444">
      <w:pPr>
        <w:pStyle w:val="30"/>
        <w:bidi w:val="0"/>
      </w:pPr>
      <w:bookmarkStart w:id="51" w:name="heading_27"/>
      <w:bookmarkStart w:id="52" w:name="_Toc17214"/>
      <w:r>
        <w:t>物资保障</w:t>
      </w:r>
      <w:bookmarkEnd w:id="51"/>
      <w:bookmarkEnd w:id="52"/>
    </w:p>
    <w:p w14:paraId="01916C8B">
      <w:pPr>
        <w:pStyle w:val="29"/>
        <w:bidi w:val="0"/>
      </w:pPr>
      <w:r>
        <w:t>建立应急物资清单，储备备用网线、应急U盘（含应急预案、操作手册）、应急通讯录、演练记录表、厂商联系方式清单等物资，明确保管责任人，每月盘点一次，及时补充短缺物资；同时与设备厂商签订应急支持协议。</w:t>
      </w:r>
    </w:p>
    <w:p w14:paraId="03D9E120">
      <w:pPr>
        <w:pStyle w:val="30"/>
        <w:bidi w:val="0"/>
      </w:pPr>
      <w:bookmarkStart w:id="53" w:name="heading_28"/>
      <w:bookmarkStart w:id="54" w:name="_Toc20014"/>
      <w:r>
        <w:t>技术保障</w:t>
      </w:r>
      <w:bookmarkEnd w:id="53"/>
      <w:bookmarkEnd w:id="54"/>
    </w:p>
    <w:p w14:paraId="7498AFE7">
      <w:pPr>
        <w:pStyle w:val="29"/>
        <w:bidi w:val="0"/>
      </w:pPr>
      <w:r>
        <w:t>建立技术知识库，汇总常见故障处置方案、硬件故障处理手册、机房环境应急预案等资料，方便运维人员快速查阅；核心监控数据采用冗余备份机制。</w:t>
      </w:r>
    </w:p>
    <w:p w14:paraId="30408F7C">
      <w:pPr>
        <w:pStyle w:val="30"/>
        <w:bidi w:val="0"/>
      </w:pPr>
      <w:bookmarkStart w:id="55" w:name="heading_29"/>
      <w:bookmarkStart w:id="56" w:name="_Toc13191"/>
      <w:r>
        <w:t>通讯保障</w:t>
      </w:r>
      <w:bookmarkEnd w:id="55"/>
      <w:bookmarkEnd w:id="56"/>
    </w:p>
    <w:p w14:paraId="61438057">
      <w:pPr>
        <w:pStyle w:val="29"/>
        <w:bidi w:val="0"/>
      </w:pPr>
      <w:r>
        <w:t>制定应急通讯联络表，明确</w:t>
      </w:r>
      <w:r>
        <w:rPr>
          <w:rFonts w:hint="eastAsia"/>
          <w:lang w:eastAsia="zh-CN"/>
        </w:rPr>
        <w:t>应急管理部</w:t>
      </w:r>
      <w:r>
        <w:t>、各工作组、甲方单位、数据中心运维方、设备厂商等单位的联系方式，确保24小时畅通。</w:t>
      </w:r>
    </w:p>
    <w:p w14:paraId="5E24AF75">
      <w:pPr>
        <w:pStyle w:val="28"/>
        <w:bidi w:val="0"/>
      </w:pPr>
      <w:bookmarkStart w:id="57" w:name="heading_30"/>
      <w:bookmarkStart w:id="58" w:name="_Toc16431"/>
      <w:r>
        <w:t>预案管理</w:t>
      </w:r>
      <w:bookmarkEnd w:id="57"/>
      <w:bookmarkEnd w:id="58"/>
    </w:p>
    <w:p w14:paraId="14A3B3BF">
      <w:pPr>
        <w:pStyle w:val="30"/>
        <w:bidi w:val="0"/>
      </w:pPr>
      <w:bookmarkStart w:id="59" w:name="heading_31"/>
      <w:bookmarkStart w:id="60" w:name="_Toc13968"/>
      <w:r>
        <w:t>预案培训</w:t>
      </w:r>
      <w:bookmarkEnd w:id="59"/>
      <w:bookmarkEnd w:id="60"/>
    </w:p>
    <w:p w14:paraId="6B2CA99B">
      <w:pPr>
        <w:pStyle w:val="29"/>
        <w:bidi w:val="0"/>
      </w:pPr>
      <w:r>
        <w:t>将本预案纳入运维人员岗前培训与在岗培训内容，确保每位相关人员熟练掌握应急流程、岗位职责与处置方法，培训记录存档备查。</w:t>
      </w:r>
    </w:p>
    <w:p w14:paraId="70B063F3">
      <w:pPr>
        <w:pStyle w:val="30"/>
        <w:bidi w:val="0"/>
      </w:pPr>
      <w:bookmarkStart w:id="61" w:name="heading_32"/>
      <w:bookmarkStart w:id="62" w:name="_Toc18191"/>
      <w:r>
        <w:t>预案演练</w:t>
      </w:r>
      <w:bookmarkEnd w:id="61"/>
      <w:bookmarkEnd w:id="62"/>
    </w:p>
    <w:p w14:paraId="4F617A13">
      <w:pPr>
        <w:pStyle w:val="29"/>
        <w:bidi w:val="0"/>
      </w:pPr>
      <w:r>
        <w:t>每年组织1次综合性应急演练，针对高频故障场景（如电力中断、硬件故障、安防审计异常等）开展专项演练，演练后形成评估报告，总结经验不足，优化预案内容。</w:t>
      </w:r>
    </w:p>
    <w:p w14:paraId="3D8BE9C3">
      <w:pPr>
        <w:pStyle w:val="30"/>
        <w:bidi w:val="0"/>
      </w:pPr>
      <w:bookmarkStart w:id="63" w:name="heading_33"/>
      <w:bookmarkStart w:id="64" w:name="_Toc8352"/>
      <w:r>
        <w:t>预案修订</w:t>
      </w:r>
      <w:bookmarkEnd w:id="63"/>
      <w:bookmarkEnd w:id="64"/>
    </w:p>
    <w:p w14:paraId="432DFF38">
      <w:pPr>
        <w:pStyle w:val="29"/>
        <w:bidi w:val="0"/>
      </w:pPr>
      <w:r>
        <w:t>本预案每年修订一次，若遇托管设备重大变更、法规标准更新等情况，及时进行动态修订，修订后经审批发布实施。</w:t>
      </w:r>
    </w:p>
    <w:p w14:paraId="0E20DDEA">
      <w:pPr>
        <w:pStyle w:val="30"/>
        <w:bidi w:val="0"/>
      </w:pPr>
      <w:bookmarkStart w:id="65" w:name="heading_34"/>
      <w:bookmarkStart w:id="66" w:name="_Toc243"/>
      <w:r>
        <w:t>复盘总结</w:t>
      </w:r>
      <w:bookmarkEnd w:id="65"/>
      <w:bookmarkEnd w:id="66"/>
    </w:p>
    <w:p w14:paraId="5C181503">
      <w:pPr>
        <w:pStyle w:val="29"/>
        <w:bidi w:val="0"/>
      </w:pPr>
      <w:r>
        <w:t>每起应急事件处置完成后，5个工作日内开展复盘会议，分析事件起因、处置过程中的问题与不足，形成复盘报告，提出改进措施并跟踪落实。</w:t>
      </w:r>
    </w:p>
    <w:p w14:paraId="220A118C">
      <w:pPr>
        <w:pStyle w:val="28"/>
        <w:bidi w:val="0"/>
      </w:pPr>
      <w:bookmarkStart w:id="67" w:name="heading_35"/>
      <w:bookmarkStart w:id="68" w:name="_Toc11861"/>
      <w:r>
        <w:t>附件</w:t>
      </w:r>
      <w:bookmarkEnd w:id="67"/>
      <w:bookmarkEnd w:id="68"/>
    </w:p>
    <w:p w14:paraId="434D391F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应急组织架构人员联络表</w:t>
      </w:r>
    </w:p>
    <w:p w14:paraId="3DF8DDCC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应急物资清单及存放位置表</w:t>
      </w:r>
    </w:p>
    <w:p w14:paraId="6F4AC4E5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外部协作单位（数据中心/设备厂商）联系方式表</w:t>
      </w:r>
    </w:p>
    <w:p w14:paraId="45C5A186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应急处置过程记录表</w:t>
      </w:r>
    </w:p>
    <w:p w14:paraId="328DD60D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应急演练评估表</w:t>
      </w:r>
    </w:p>
    <w:p w14:paraId="52BE50F7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硬件故障处理记录单模板</w:t>
      </w:r>
    </w:p>
    <w:p w14:paraId="12D6B8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70BD5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46A8B0"/>
    <w:multiLevelType w:val="singleLevel"/>
    <w:tmpl w:val="9046A8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635E39E"/>
    <w:multiLevelType w:val="singleLevel"/>
    <w:tmpl w:val="9635E3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AA0DE6B"/>
    <w:multiLevelType w:val="singleLevel"/>
    <w:tmpl w:val="9AA0DE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A6440532"/>
    <w:multiLevelType w:val="singleLevel"/>
    <w:tmpl w:val="A644053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51C6639"/>
    <w:multiLevelType w:val="singleLevel"/>
    <w:tmpl w:val="251C66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15AB1A2"/>
    <w:multiLevelType w:val="singleLevel"/>
    <w:tmpl w:val="315AB1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4150DB76"/>
    <w:multiLevelType w:val="singleLevel"/>
    <w:tmpl w:val="4150DB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67E3DBB"/>
    <w:rsid w:val="6DC9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3869</Words>
  <Characters>4056</Characters>
  <Lines>0</Lines>
  <Paragraphs>0</Paragraphs>
  <TotalTime>0</TotalTime>
  <ScaleCrop>false</ScaleCrop>
  <LinksUpToDate>false</LinksUpToDate>
  <CharactersWithSpaces>4475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2026-05-26T16:25:23Z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