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CA05337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7109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8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重庆市鹧鸪哨信息技术有限责任公司</w:t>
      </w:r>
      <w:bookmarkEnd w:id="0"/>
    </w:p>
    <w:p w14:paraId="189C0BDA">
      <w:pPr>
        <w:keepNext w:val="0"/>
        <w:keepLines w:val="0"/>
        <w:pageBreakBefore w:val="0"/>
        <w:widowControl w:val="0"/>
        <w:suppressLineNumbers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0" w:leftChars="0" w:right="0" w:rightChars="0" w:firstLine="0" w:firstLineChars="0"/>
        <w:jc w:val="center"/>
        <w:textAlignment w:val="baseline"/>
        <w:rPr>
          <w:rFonts w:hint="default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</w:pPr>
      <w:r>
        <w:rPr>
          <w:rFonts w:hint="eastAsia" w:ascii="黑体" w:hAnsi="黑体" w:eastAsia="黑体" w:cs="黑体"/>
          <w:b/>
          <w:bCs/>
          <w:snapToGrid w:val="0"/>
          <w:color w:val="000000"/>
          <w:spacing w:val="-7"/>
          <w:kern w:val="0"/>
          <w:sz w:val="52"/>
          <w:szCs w:val="52"/>
          <w:lang w:val="en-US" w:eastAsia="zh-CN" w:bidi="ar-SA"/>
        </w:rPr>
        <w:t>2025年度应急工作总结报告</w:t>
      </w:r>
    </w:p>
    <w:p w14:paraId="681E4595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文件编号：ZGS-10-06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6314297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2432" w:type="dxa"/>
          </w:tcPr>
          <w:p w14:paraId="3AA13DE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运维部</w:t>
            </w:r>
          </w:p>
        </w:tc>
        <w:tc>
          <w:tcPr>
            <w:tcW w:w="2708" w:type="dxa"/>
          </w:tcPr>
          <w:p w14:paraId="4FA879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2026.01.15</w:t>
            </w:r>
          </w:p>
        </w:tc>
      </w:tr>
      <w:tr w14:paraId="593B5B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789489C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1CB8EF7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2026.01.15</w:t>
            </w:r>
          </w:p>
        </w:tc>
      </w:tr>
      <w:tr w14:paraId="3C136F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12018C2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批准人:宋海滨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</w:r>
            <w:r>
              <w:rPr>
                <w:rFonts w:hint="eastAsia"/>
                <w:u w:val="single"/>
                <w:lang w:val="en-US" w:eastAsia="zh-CN"/>
              </w:rPr>
            </w:r>
          </w:p>
        </w:tc>
        <w:tc>
          <w:tcPr>
            <w:tcW w:w="2708" w:type="dxa"/>
          </w:tcPr>
          <w:p w14:paraId="1857811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2026.01.15</w:t>
            </w:r>
          </w:p>
        </w:tc>
      </w:tr>
    </w:tbl>
    <w:p w14:paraId="3FA81F54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609A532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7137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689"/>
        <w:gridCol w:w="919"/>
        <w:gridCol w:w="2289"/>
        <w:gridCol w:w="1240"/>
      </w:tblGrid>
      <w:tr w14:paraId="35D2473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 w:hRule="atLeast"/>
          <w:jc w:val="center"/>
        </w:trPr>
        <w:tc>
          <w:tcPr>
            <w:tcW w:w="2689" w:type="dxa"/>
          </w:tcPr>
          <w:p w14:paraId="28C74D3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19" w:type="dxa"/>
          </w:tcPr>
          <w:p w14:paraId="04AF561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2289" w:type="dxa"/>
          </w:tcPr>
          <w:p w14:paraId="6604A7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240" w:type="dxa"/>
          </w:tcPr>
          <w:p w14:paraId="59F671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5C95AD1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2689" w:type="dxa"/>
          </w:tcPr>
          <w:p w14:paraId="5BAEC3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2026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01.15</w:t>
            </w:r>
          </w:p>
        </w:tc>
        <w:tc>
          <w:tcPr>
            <w:tcW w:w="919" w:type="dxa"/>
          </w:tcPr>
          <w:p w14:paraId="61A01B6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2289" w:type="dxa"/>
          </w:tcPr>
          <w:p w14:paraId="6B762E5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新建</w:t>
            </w:r>
          </w:p>
        </w:tc>
        <w:tc>
          <w:tcPr>
            <w:tcW w:w="1240" w:type="dxa"/>
          </w:tcPr>
          <w:p w14:paraId="796E641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/>
                <w:lang w:val="en-US" w:eastAsia="zh-CN"/>
              </w:rPr>
              <w:t>宋海滨</w:t>
            </w:r>
          </w:p>
        </w:tc>
      </w:tr>
      <w:tr w14:paraId="09AC2B6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5E4743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1839EB2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82C41F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457A6E6B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6CF8AF7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2689" w:type="dxa"/>
          </w:tcPr>
          <w:p w14:paraId="4AEFA65C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43A6AC7E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6A32BB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3421E95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1FE43BC7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2689" w:type="dxa"/>
          </w:tcPr>
          <w:p w14:paraId="62955F4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9" w:type="dxa"/>
          </w:tcPr>
          <w:p w14:paraId="7B58360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2289" w:type="dxa"/>
          </w:tcPr>
          <w:p w14:paraId="224A58A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240" w:type="dxa"/>
          </w:tcPr>
          <w:p w14:paraId="2CEDA99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0C79D6CB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5DAC79E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076DDCA8">
          <w:pPr>
            <w:pStyle w:val="16"/>
            <w:tabs>
              <w:tab w:val="right" w:leader="dot" w:pos="8306"/>
            </w:tabs>
          </w:pPr>
          <w:bookmarkStart w:id="46" w:name="_GoBack"/>
          <w:bookmarkEnd w:id="46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_Toc17109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重庆市鹧鸪哨信息技术有限责任公司</w:t>
          </w:r>
          <w:r>
            <w:tab/>
          </w:r>
          <w:r>
            <w:fldChar w:fldCharType="begin"/>
          </w:r>
          <w:r>
            <w:instrText xml:space="preserve"> PAGEREF _Toc17109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9784AD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_Toc30101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1. </w:t>
          </w:r>
          <w:r>
            <w:t>年度工作概述</w:t>
          </w:r>
          <w:r>
            <w:tab/>
          </w:r>
          <w:r>
            <w:fldChar w:fldCharType="begin"/>
          </w:r>
          <w:r>
            <w:instrText xml:space="preserve"> PAGEREF _Toc30101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A9C1633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_Toc14061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 </w:t>
          </w:r>
          <w:r>
            <w:t>应急体系建设</w:t>
          </w:r>
          <w:r>
            <w:tab/>
          </w:r>
          <w:r>
            <w:fldChar w:fldCharType="begin"/>
          </w:r>
          <w:r>
            <w:instrText xml:space="preserve"> PAGEREF _Toc14061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8D31A58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_Toc1228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2.1. </w:t>
          </w:r>
          <w:r>
            <w:t>制度文件建设</w:t>
          </w:r>
          <w:r>
            <w:tab/>
          </w:r>
          <w:r>
            <w:fldChar w:fldCharType="begin"/>
          </w:r>
          <w:r>
            <w:instrText xml:space="preserve"> PAGEREF _Toc1228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814116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_Toc18791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2.2. </w:t>
          </w:r>
          <w:r>
            <w:t>应急组织架构</w:t>
          </w:r>
          <w:r>
            <w:tab/>
          </w:r>
          <w:r>
            <w:fldChar w:fldCharType="begin"/>
          </w:r>
          <w:r>
            <w:instrText xml:space="preserve"> PAGEREF _Toc18791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4E861C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_Toc1312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2.3. </w:t>
          </w:r>
          <w:r>
            <w:t>应急物资保障</w:t>
          </w:r>
          <w:r>
            <w:tab/>
          </w:r>
          <w:r>
            <w:fldChar w:fldCharType="begin"/>
          </w:r>
          <w:r>
            <w:instrText xml:space="preserve"> PAGEREF _Toc1312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AD56EE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_Toc14536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2.4. </w:t>
          </w:r>
          <w:r>
            <w:t>应急预案覆盖范围</w:t>
          </w:r>
          <w:r>
            <w:tab/>
          </w:r>
          <w:r>
            <w:fldChar w:fldCharType="begin"/>
          </w:r>
          <w:r>
            <w:instrText xml:space="preserve"> PAGEREF _Toc14536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44F1DEB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_Toc7945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 </w:t>
          </w:r>
          <w:r>
            <w:t>应急演练开展情况</w:t>
          </w:r>
          <w:r>
            <w:tab/>
          </w:r>
          <w:r>
            <w:fldChar w:fldCharType="begin"/>
          </w:r>
          <w:r>
            <w:instrText xml:space="preserve"> PAGEREF _Toc7945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565607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_Toc1926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3.1. </w:t>
          </w:r>
          <w:r>
            <w:t>演练概况</w:t>
          </w:r>
          <w:r>
            <w:tab/>
          </w:r>
          <w:r>
            <w:fldChar w:fldCharType="begin"/>
          </w:r>
          <w:r>
            <w:instrText xml:space="preserve"> PAGEREF _Toc1926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6F05E9B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_Toc24451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3.2. </w:t>
          </w:r>
          <w:r>
            <w:t>演练场景与成果</w:t>
          </w:r>
          <w:r>
            <w:tab/>
          </w:r>
          <w:r>
            <w:fldChar w:fldCharType="begin"/>
          </w:r>
          <w:r>
            <w:instrText xml:space="preserve"> PAGEREF _Toc24451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D00CA2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_Toc14755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3.3. </w:t>
          </w:r>
          <w:r>
            <w:t>演练成效</w:t>
          </w:r>
          <w:r>
            <w:tab/>
          </w:r>
          <w:r>
            <w:fldChar w:fldCharType="begin"/>
          </w:r>
          <w:r>
            <w:instrText xml:space="preserve"> PAGEREF _Toc14755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B3EF6B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_Toc427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 </w:t>
          </w:r>
          <w:r>
            <w:t>应急事件处置情况</w:t>
          </w:r>
          <w:r>
            <w:tab/>
          </w:r>
          <w:r>
            <w:fldChar w:fldCharType="begin"/>
          </w:r>
          <w:r>
            <w:instrText xml:space="preserve"> PAGEREF _Toc427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6B78123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_Toc28743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4.1. </w:t>
          </w:r>
          <w:r>
            <w:t>年度应急事件统计</w:t>
          </w:r>
          <w:r>
            <w:tab/>
          </w:r>
          <w:r>
            <w:fldChar w:fldCharType="begin"/>
          </w:r>
          <w:r>
            <w:instrText xml:space="preserve"> PAGEREF _Toc28743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A5B1C99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_Toc12939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4.2. </w:t>
          </w:r>
          <w:r>
            <w:t>典型事件处置</w:t>
          </w:r>
          <w:r>
            <w:tab/>
          </w:r>
          <w:r>
            <w:fldChar w:fldCharType="begin"/>
          </w:r>
          <w:r>
            <w:instrText xml:space="preserve"> PAGEREF _Toc12939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7D3424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_Toc23273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4.3. </w:t>
          </w:r>
          <w:r>
            <w:t>应急处置能力评估</w:t>
          </w:r>
          <w:r>
            <w:tab/>
          </w:r>
          <w:r>
            <w:fldChar w:fldCharType="begin"/>
          </w:r>
          <w:r>
            <w:instrText xml:space="preserve"> PAGEREF _Toc23273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61077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_Toc2050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 </w:t>
          </w:r>
          <w:r>
            <w:t>存在问题与改进措施</w:t>
          </w:r>
          <w:r>
            <w:tab/>
          </w:r>
          <w:r>
            <w:fldChar w:fldCharType="begin"/>
          </w:r>
          <w:r>
            <w:instrText xml:space="preserve"> PAGEREF _Toc2050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DEA836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_Toc29451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5.1. </w:t>
          </w:r>
          <w:r>
            <w:t>年度问题整改情况</w:t>
          </w:r>
          <w:r>
            <w:tab/>
          </w:r>
          <w:r>
            <w:fldChar w:fldCharType="begin"/>
          </w:r>
          <w:r>
            <w:instrText xml:space="preserve"> PAGEREF _Toc29451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122ECD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_Toc27688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5.2. </w:t>
          </w:r>
          <w:r>
            <w:t>年度整改成效</w:t>
          </w:r>
          <w:r>
            <w:tab/>
          </w:r>
          <w:r>
            <w:fldChar w:fldCharType="begin"/>
          </w:r>
          <w:r>
            <w:instrText xml:space="preserve"> PAGEREF _Toc27688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BB5A3FD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_Toc24216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 </w:t>
          </w:r>
          <w:r>
            <w:t>下年度工作计划</w:t>
          </w:r>
          <w:r>
            <w:tab/>
          </w:r>
          <w:r>
            <w:fldChar w:fldCharType="begin"/>
          </w:r>
          <w:r>
            <w:instrText xml:space="preserve"> PAGEREF _Toc24216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FDAC7C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6.1. </w:t>
          </w:r>
          <w:r>
            <w:t>应急体系建设计划</w:t>
          </w:r>
          <w:r>
            <w:tab/>
          </w:r>
          <w:r>
            <w:fldChar w:fldCharType="begin"/>
          </w:r>
          <w:r>
            <w:instrText xml:space="preserve"> PAGEREF _Toc2212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32D2F33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_Toc30302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6.2. </w:t>
          </w:r>
          <w:r>
            <w:t>应急演练计划</w:t>
          </w:r>
          <w:r>
            <w:tab/>
          </w:r>
          <w:r>
            <w:fldChar w:fldCharType="begin"/>
          </w:r>
          <w:r>
            <w:instrText xml:space="preserve"> PAGEREF _Toc30302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4343A41F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_Toc22980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6.3. </w:t>
          </w:r>
          <w:r>
            <w:t>能力提升计划</w:t>
          </w:r>
          <w:r>
            <w:tab/>
          </w:r>
          <w:r>
            <w:fldChar w:fldCharType="begin"/>
          </w:r>
          <w:r>
            <w:instrText xml:space="preserve"> PAGEREF _Toc22980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CDCB66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_Toc6468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</w:rPr>
            <w:t xml:space="preserve">7. </w:t>
          </w:r>
          <w:r>
            <w:t>附件</w:t>
          </w:r>
          <w:r>
            <w:tab/>
          </w:r>
          <w:r>
            <w:fldChar w:fldCharType="begin"/>
          </w:r>
          <w:r>
            <w:instrText xml:space="preserve"> PAGEREF _Toc6468 \h </w:instrText>
          </w:r>
          <w:r>
            <w:fldChar w:fldCharType="separate"/>
          </w:r>
          <w:r>
            <w:t>10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090CE73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090C0647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5818AC4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30101"/>
      <w:r>
        <w:t>年度工作概述</w:t>
      </w:r>
      <w:bookmarkEnd w:id="1"/>
      <w:bookmarkEnd w:id="2"/>
    </w:p>
    <w:p w14:paraId="231F354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度，中国广电重庆网络股份有限公司服务器托管项目运维团队围绕“预防为主、防治结合”的应急管理工作方针，系统开展了应急体系建设、应急预案编制、应急演练实施等工作，全面提升了托管服务的应急响应能力和故障处置效率。</w:t>
      </w:r>
    </w:p>
    <w:p w14:paraId="670016C2">
      <w:pPr>
        <w:pStyle w:val="4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</w:pPr>
      <w:bookmarkStart w:id="3" w:name="heading_3"/>
      <w:r>
        <w:t>年度应急工作总体评价</w:t>
      </w:r>
      <w:bookmarkEnd w:id="3"/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77"/>
        <w:gridCol w:w="6403"/>
      </w:tblGrid>
      <w:tr w14:paraId="7D1AF48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7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8589B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维度</w:t>
            </w:r>
          </w:p>
        </w:tc>
        <w:tc>
          <w:tcPr>
            <w:tcW w:w="640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18236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达成情况</w:t>
            </w:r>
          </w:p>
        </w:tc>
      </w:tr>
      <w:tr w14:paraId="5244780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C04BB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应急体系建设</w:t>
            </w:r>
          </w:p>
        </w:tc>
        <w:tc>
          <w:tcPr>
            <w:tcW w:w="64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D9F44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完成应急预案、大纲、计划、报告等全套文件编制</w:t>
            </w:r>
          </w:p>
        </w:tc>
      </w:tr>
      <w:tr w14:paraId="53FEA2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DCFB4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应急演练</w:t>
            </w:r>
          </w:p>
        </w:tc>
        <w:tc>
          <w:tcPr>
            <w:tcW w:w="64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24CA2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完成1次综合性实战演练，覆盖3个典型故障场景</w:t>
            </w:r>
          </w:p>
        </w:tc>
      </w:tr>
      <w:tr w14:paraId="7EFAD58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2355A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应急事件处置</w:t>
            </w:r>
          </w:p>
        </w:tc>
        <w:tc>
          <w:tcPr>
            <w:tcW w:w="640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D4710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全年未发生重大应急事件，小型故障处置及时</w:t>
            </w:r>
          </w:p>
        </w:tc>
      </w:tr>
      <w:tr w14:paraId="271366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87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413EB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改进措施落实</w:t>
            </w:r>
          </w:p>
        </w:tc>
        <w:tc>
          <w:tcPr>
            <w:tcW w:w="640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534F5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年度整改完成率100%</w:t>
            </w:r>
          </w:p>
        </w:tc>
      </w:tr>
    </w:tbl>
    <w:p w14:paraId="17DCA9A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" w:name="heading_4"/>
      <w:bookmarkStart w:id="5" w:name="_Toc14061"/>
      <w:r>
        <w:t>应急体系建设</w:t>
      </w:r>
      <w:bookmarkEnd w:id="4"/>
      <w:bookmarkEnd w:id="5"/>
    </w:p>
    <w:p w14:paraId="0E2207B3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6" w:name="heading_5"/>
      <w:bookmarkStart w:id="7" w:name="_Toc1228"/>
      <w:r>
        <w:t>制度文件建设</w:t>
      </w:r>
      <w:bookmarkEnd w:id="6"/>
      <w:bookmarkEnd w:id="7"/>
    </w:p>
    <w:p w14:paraId="59FECB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2025年度，项目团队完成了应急管理全套制度文件的编制与发布，构建了标准化、规范化的项目应急管理体系，为服务器托管服务应急工作开展提供制度依据。</w:t>
      </w:r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97"/>
        <w:gridCol w:w="2933"/>
        <w:gridCol w:w="1952"/>
        <w:gridCol w:w="1298"/>
      </w:tblGrid>
      <w:tr w14:paraId="7587BCE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9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F13B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文件编号</w:t>
            </w:r>
          </w:p>
        </w:tc>
        <w:tc>
          <w:tcPr>
            <w:tcW w:w="293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CB15B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文件名称</w:t>
            </w:r>
          </w:p>
        </w:tc>
        <w:tc>
          <w:tcPr>
            <w:tcW w:w="195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6CB87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编制时间</w:t>
            </w:r>
          </w:p>
        </w:tc>
        <w:tc>
          <w:tcPr>
            <w:tcW w:w="129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A2C29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1A0F17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082BD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ZGS-10-01</w:t>
            </w:r>
          </w:p>
        </w:tc>
        <w:tc>
          <w:tcPr>
            <w:tcW w:w="29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F7BF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运维应急管理制度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B7CB9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2025.02.15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2E013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已发布</w:t>
            </w:r>
          </w:p>
        </w:tc>
      </w:tr>
      <w:tr w14:paraId="622B25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356DB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ZGS-10-02</w:t>
            </w:r>
          </w:p>
        </w:tc>
        <w:tc>
          <w:tcPr>
            <w:tcW w:w="29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9041D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应急演练大纲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2D0572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2025.02.20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7C766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已发布</w:t>
            </w:r>
          </w:p>
        </w:tc>
      </w:tr>
      <w:tr w14:paraId="108A2B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E3A8D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ZGS-10-03</w:t>
            </w:r>
          </w:p>
        </w:tc>
        <w:tc>
          <w:tcPr>
            <w:tcW w:w="29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83D9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运维服务应急预案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96FC8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2025.02.20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0CE55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已发布</w:t>
            </w:r>
          </w:p>
        </w:tc>
      </w:tr>
      <w:tr w14:paraId="34BC2C0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9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AC523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ZGS-10-04</w:t>
            </w:r>
          </w:p>
        </w:tc>
        <w:tc>
          <w:tcPr>
            <w:tcW w:w="29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D21DD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应急演练计划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D59DD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2025.08.10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1097B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已发布</w:t>
            </w:r>
          </w:p>
        </w:tc>
      </w:tr>
      <w:tr w14:paraId="24C5BD6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9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E39F6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ZGS-10-05</w:t>
            </w:r>
          </w:p>
        </w:tc>
        <w:tc>
          <w:tcPr>
            <w:tcW w:w="29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3DE14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应急演练报告</w:t>
            </w:r>
          </w:p>
        </w:tc>
        <w:tc>
          <w:tcPr>
            <w:tcW w:w="195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34896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2025.09.16</w:t>
            </w:r>
          </w:p>
        </w:tc>
        <w:tc>
          <w:tcPr>
            <w:tcW w:w="129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D7F2F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已归档</w:t>
            </w:r>
          </w:p>
        </w:tc>
      </w:tr>
    </w:tbl>
    <w:p w14:paraId="7FAFB5F1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8" w:name="heading_6"/>
      <w:bookmarkStart w:id="9" w:name="_Toc18791"/>
      <w:r>
        <w:t>应急组织架构</w:t>
      </w:r>
      <w:bookmarkEnd w:id="8"/>
      <w:bookmarkEnd w:id="9"/>
    </w:p>
    <w:p w14:paraId="2ED4757D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建立了完善的应急组织架构，明确各岗位应急职责、分工边界与工作流程，形成统一指挥、分工明确、协同联动的应急工作机制，保障突发故障快速响应、高效处置。</w:t>
      </w:r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38"/>
        <w:gridCol w:w="1862"/>
        <w:gridCol w:w="4980"/>
      </w:tblGrid>
      <w:tr w14:paraId="6FD2F5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43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2AA51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角色</w:t>
            </w:r>
          </w:p>
        </w:tc>
        <w:tc>
          <w:tcPr>
            <w:tcW w:w="18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96D58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人员</w:t>
            </w:r>
          </w:p>
        </w:tc>
        <w:tc>
          <w:tcPr>
            <w:tcW w:w="498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1B87E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核心职责</w:t>
            </w:r>
          </w:p>
        </w:tc>
      </w:tr>
      <w:tr w14:paraId="62FBCA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C7C2B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总指挥</w:t>
            </w:r>
          </w:p>
        </w:tc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2F8F9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运维部部长</w:t>
            </w:r>
          </w:p>
        </w:tc>
        <w:tc>
          <w:tcPr>
            <w:tcW w:w="49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D9A80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统筹应急全局，下达应急启动、终止指令，统筹资源调配与故障处置决策</w:t>
            </w:r>
          </w:p>
        </w:tc>
      </w:tr>
      <w:tr w14:paraId="6FE35C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7AFDA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副总指挥</w:t>
            </w:r>
          </w:p>
        </w:tc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13CE7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运维项目部长</w:t>
            </w:r>
          </w:p>
        </w:tc>
        <w:tc>
          <w:tcPr>
            <w:tcW w:w="49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14D73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协调甲方、数据中心各方资源，跟进故障处置全过程，确认业务恢复结果</w:t>
            </w:r>
          </w:p>
        </w:tc>
      </w:tr>
      <w:tr w14:paraId="4C9905C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0F14A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技术保障组</w:t>
            </w:r>
          </w:p>
        </w:tc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556585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运维工程师（2人）</w:t>
            </w:r>
          </w:p>
        </w:tc>
        <w:tc>
          <w:tcPr>
            <w:tcW w:w="49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91330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负责故障排查诊断、技术处置方案制定、设备恢复实施、业务验证工作</w:t>
            </w:r>
          </w:p>
        </w:tc>
      </w:tr>
      <w:tr w14:paraId="656E34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F8283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现场抢险组</w:t>
            </w:r>
          </w:p>
        </w:tc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DD4E6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数据中心运维人员</w:t>
            </w:r>
          </w:p>
        </w:tc>
        <w:tc>
          <w:tcPr>
            <w:tcW w:w="49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EDCC1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负责机房现场环境管控、设备巡检、初期险情排查与现场处置配合工作</w:t>
            </w:r>
          </w:p>
        </w:tc>
      </w:tr>
      <w:tr w14:paraId="116D864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AB078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信息联络组</w:t>
            </w:r>
          </w:p>
        </w:tc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52381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</w:t>
            </w:r>
          </w:p>
        </w:tc>
        <w:tc>
          <w:tcPr>
            <w:tcW w:w="49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61C20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负责应急信息通报、全过程记录、甲方对接、各方沟通协调工作</w:t>
            </w:r>
          </w:p>
        </w:tc>
      </w:tr>
      <w:tr w14:paraId="1019B6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3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8102A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后勤支持组</w:t>
            </w:r>
          </w:p>
        </w:tc>
        <w:tc>
          <w:tcPr>
            <w:tcW w:w="18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56BA0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rPr>
                <w:rFonts w:hint="eastAsia"/>
                <w:lang w:val="en-US" w:eastAsia="zh-CN"/>
              </w:rPr>
              <w:t>采购部</w:t>
            </w:r>
            <w:r/>
          </w:p>
        </w:tc>
        <w:tc>
          <w:tcPr>
            <w:tcW w:w="49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6543C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负责应急物资调配、设备厂商对接报修、后勤保障支撑工作</w:t>
            </w:r>
          </w:p>
        </w:tc>
      </w:tr>
    </w:tbl>
    <w:p w14:paraId="49C2D3B2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0" w:name="heading_7"/>
      <w:bookmarkStart w:id="11" w:name="_Toc1312"/>
      <w:r>
        <w:t>应急物资保障</w:t>
      </w:r>
      <w:bookmarkEnd w:id="10"/>
      <w:bookmarkEnd w:id="11"/>
    </w:p>
    <w:p w14:paraId="39F059E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梳理完善项目应急物资清单，明确各类物资用途、存放位置与保管要求，建立常态化物资核查机制，确保应急物资随时可用、状态完好，为突发故障处置提供物资支撑。</w:t>
      </w:r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29"/>
        <w:gridCol w:w="708"/>
        <w:gridCol w:w="4413"/>
        <w:gridCol w:w="1630"/>
      </w:tblGrid>
      <w:tr w14:paraId="520B6F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52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C4F1E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物资名称</w:t>
            </w:r>
          </w:p>
        </w:tc>
        <w:tc>
          <w:tcPr>
            <w:tcW w:w="70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251BA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数量</w:t>
            </w:r>
          </w:p>
        </w:tc>
        <w:tc>
          <w:tcPr>
            <w:tcW w:w="441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7C397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用途</w:t>
            </w:r>
          </w:p>
        </w:tc>
        <w:tc>
          <w:tcPr>
            <w:tcW w:w="163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83D5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存放位置</w:t>
            </w:r>
          </w:p>
        </w:tc>
      </w:tr>
      <w:tr w14:paraId="42A236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77148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备用网线</w:t>
            </w:r>
          </w:p>
        </w:tc>
        <w:tc>
          <w:tcPr>
            <w:tcW w:w="7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41775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若干</w:t>
            </w:r>
          </w:p>
        </w:tc>
        <w:tc>
          <w:tcPr>
            <w:tcW w:w="44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A6C80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用于网络线路故障快速更换、网络异常恢复</w:t>
            </w:r>
          </w:p>
        </w:tc>
        <w:tc>
          <w:tcPr>
            <w:tcW w:w="16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1A48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运维值班室</w:t>
            </w:r>
          </w:p>
        </w:tc>
      </w:tr>
      <w:tr w14:paraId="6AEE47C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6238E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应急U盘</w:t>
            </w:r>
          </w:p>
        </w:tc>
        <w:tc>
          <w:tcPr>
            <w:tcW w:w="7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64157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1个</w:t>
            </w:r>
          </w:p>
        </w:tc>
        <w:tc>
          <w:tcPr>
            <w:tcW w:w="44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FA938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存储应急预案、操作手册、配置备份文件，应急处置查阅使用</w:t>
            </w:r>
          </w:p>
        </w:tc>
        <w:tc>
          <w:tcPr>
            <w:tcW w:w="16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01D07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运维值班室</w:t>
            </w:r>
          </w:p>
        </w:tc>
      </w:tr>
      <w:tr w14:paraId="5C04910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4E56C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应急通讯录</w:t>
            </w:r>
          </w:p>
        </w:tc>
        <w:tc>
          <w:tcPr>
            <w:tcW w:w="7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33200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1份</w:t>
            </w:r>
          </w:p>
        </w:tc>
        <w:tc>
          <w:tcPr>
            <w:tcW w:w="44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6E37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收录应急小组、甲方、数据中心及厂商联系方式，保障应急沟通畅通</w:t>
            </w:r>
          </w:p>
        </w:tc>
        <w:tc>
          <w:tcPr>
            <w:tcW w:w="16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81389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运维值班室</w:t>
            </w:r>
          </w:p>
        </w:tc>
      </w:tr>
      <w:tr w14:paraId="4A34BC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3CA9A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演练记录表</w:t>
            </w:r>
          </w:p>
        </w:tc>
        <w:tc>
          <w:tcPr>
            <w:tcW w:w="7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EE5DE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若干</w:t>
            </w:r>
          </w:p>
        </w:tc>
        <w:tc>
          <w:tcPr>
            <w:tcW w:w="441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AB0B30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用于应急演练、故障处置全过程记录归档</w:t>
            </w:r>
          </w:p>
        </w:tc>
        <w:tc>
          <w:tcPr>
            <w:tcW w:w="163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26E84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运维值班室</w:t>
            </w:r>
          </w:p>
        </w:tc>
      </w:tr>
      <w:tr w14:paraId="41738A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52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D04E6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厂商联系方式清单</w:t>
            </w:r>
          </w:p>
        </w:tc>
        <w:tc>
          <w:tcPr>
            <w:tcW w:w="7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2644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1份</w:t>
            </w:r>
          </w:p>
        </w:tc>
        <w:tc>
          <w:tcPr>
            <w:tcW w:w="441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7599F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用于硬件设备故障快速报修、技术咨询与售后对接</w:t>
            </w:r>
          </w:p>
        </w:tc>
        <w:tc>
          <w:tcPr>
            <w:tcW w:w="163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322F6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运维值班室</w:t>
            </w:r>
          </w:p>
        </w:tc>
      </w:tr>
    </w:tbl>
    <w:p w14:paraId="0E9DD6CE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2" w:name="heading_8"/>
      <w:bookmarkStart w:id="13" w:name="_Toc14536"/>
      <w:r>
        <w:t>应急预案覆盖范围</w:t>
      </w:r>
      <w:bookmarkEnd w:id="12"/>
      <w:bookmarkEnd w:id="13"/>
    </w:p>
    <w:p w14:paraId="76D154AA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结合服务器托管项目业务特性与机房运维风险，应急预案全面覆盖项目核心风险场景，明确不同场景风险等级、处置流程与管控标准，实现风险全覆盖、处置有依据。</w:t>
      </w:r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1"/>
        <w:gridCol w:w="4429"/>
        <w:gridCol w:w="1750"/>
      </w:tblGrid>
      <w:tr w14:paraId="2DC676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10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0F40E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场景类别</w:t>
            </w:r>
          </w:p>
        </w:tc>
        <w:tc>
          <w:tcPr>
            <w:tcW w:w="442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5E292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具体场景</w:t>
            </w:r>
          </w:p>
        </w:tc>
        <w:tc>
          <w:tcPr>
            <w:tcW w:w="175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E49A8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风险等级</w:t>
            </w:r>
          </w:p>
        </w:tc>
      </w:tr>
      <w:tr w14:paraId="340D4B2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0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E0EF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机房环境类</w:t>
            </w:r>
          </w:p>
        </w:tc>
        <w:tc>
          <w:tcPr>
            <w:tcW w:w="442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9421A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电力中断、空调故障</w:t>
            </w:r>
          </w:p>
        </w:tc>
        <w:tc>
          <w:tcPr>
            <w:tcW w:w="175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1C6DB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P1/P2</w:t>
            </w:r>
          </w:p>
        </w:tc>
      </w:tr>
      <w:tr w14:paraId="2950E44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0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74350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硬件设备类</w:t>
            </w:r>
          </w:p>
        </w:tc>
        <w:tc>
          <w:tcPr>
            <w:tcW w:w="442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8E00D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服务器宕机、硬盘故障</w:t>
            </w:r>
          </w:p>
        </w:tc>
        <w:tc>
          <w:tcPr>
            <w:tcW w:w="175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6E60E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P1/P2</w:t>
            </w:r>
          </w:p>
        </w:tc>
      </w:tr>
      <w:tr w14:paraId="14A8E4B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10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307AF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安防审计类</w:t>
            </w:r>
          </w:p>
        </w:tc>
        <w:tc>
          <w:tcPr>
            <w:tcW w:w="442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50313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审计Agent离线、日志中断</w:t>
            </w:r>
          </w:p>
        </w:tc>
        <w:tc>
          <w:tcPr>
            <w:tcW w:w="17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1709D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P2</w:t>
            </w:r>
          </w:p>
        </w:tc>
      </w:tr>
    </w:tbl>
    <w:p w14:paraId="40EDFF8A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heading_9"/>
      <w:bookmarkStart w:id="15" w:name="_Toc7945"/>
      <w:r>
        <w:t>应急演练开展情况</w:t>
      </w:r>
      <w:bookmarkEnd w:id="14"/>
      <w:bookmarkEnd w:id="15"/>
    </w:p>
    <w:p w14:paraId="64BFDDD9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6" w:name="heading_10"/>
      <w:bookmarkStart w:id="17" w:name="_Toc1926"/>
      <w:r>
        <w:t>演练概况</w:t>
      </w:r>
      <w:bookmarkEnd w:id="16"/>
      <w:bookmarkEnd w:id="17"/>
    </w:p>
    <w:p w14:paraId="1AEB1E61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依据年度应急演练计划，2025年9月15日，项目团队联合甲方、数据中心运维方开展年度综合性实战应急演练，全程模拟真实故障场景，实战检验应急体系运行能力与团队处置水平。</w:t>
      </w:r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843"/>
        <w:gridCol w:w="6437"/>
      </w:tblGrid>
      <w:tr w14:paraId="06E505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4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46769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项目</w:t>
            </w:r>
          </w:p>
        </w:tc>
        <w:tc>
          <w:tcPr>
            <w:tcW w:w="643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915BD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内容</w:t>
            </w:r>
          </w:p>
        </w:tc>
      </w:tr>
      <w:tr w14:paraId="3DE0FD7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3457C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演练时间</w:t>
            </w:r>
          </w:p>
        </w:tc>
        <w:tc>
          <w:tcPr>
            <w:tcW w:w="64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5E7D4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2025年9月15日 14:00-16:00</w:t>
            </w:r>
          </w:p>
        </w:tc>
      </w:tr>
      <w:tr w14:paraId="1165492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FE03A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演练地点</w:t>
            </w:r>
          </w:p>
        </w:tc>
        <w:tc>
          <w:tcPr>
            <w:tcW w:w="64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9830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新余市政务云计算大数据中心机房及运维值班室</w:t>
            </w:r>
          </w:p>
        </w:tc>
      </w:tr>
      <w:tr w14:paraId="342A7DF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6567F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演练类别</w:t>
            </w:r>
          </w:p>
        </w:tc>
        <w:tc>
          <w:tcPr>
            <w:tcW w:w="64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513B3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现场处置演练 + 实战演练</w:t>
            </w:r>
          </w:p>
        </w:tc>
      </w:tr>
      <w:tr w14:paraId="2BE996A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4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AEAE5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参与单位</w:t>
            </w:r>
          </w:p>
        </w:tc>
        <w:tc>
          <w:tcPr>
            <w:tcW w:w="64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6203B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甲方信息中心、乙方运维团队、数据中心运维方</w:t>
            </w:r>
          </w:p>
        </w:tc>
      </w:tr>
      <w:tr w14:paraId="3CC4E4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84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70AB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演练场景</w:t>
            </w:r>
          </w:p>
        </w:tc>
        <w:tc>
          <w:tcPr>
            <w:tcW w:w="64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DCD20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</w:pPr>
            <w:r>
              <w:t>3个（电力中断、硬件故障、安防审计异常）</w:t>
            </w:r>
          </w:p>
        </w:tc>
      </w:tr>
    </w:tbl>
    <w:p w14:paraId="5D0444A0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8" w:name="heading_11"/>
      <w:bookmarkStart w:id="19" w:name="_Toc24451"/>
      <w:r>
        <w:t>演练场景与成果</w:t>
      </w:r>
      <w:bookmarkEnd w:id="18"/>
      <w:bookmarkEnd w:id="19"/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26"/>
        <w:gridCol w:w="1811"/>
        <w:gridCol w:w="1811"/>
        <w:gridCol w:w="1577"/>
        <w:gridCol w:w="1288"/>
        <w:gridCol w:w="767"/>
      </w:tblGrid>
      <w:tr w14:paraId="79FEAF7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02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5FB4DE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场景</w:t>
            </w:r>
          </w:p>
        </w:tc>
        <w:tc>
          <w:tcPr>
            <w:tcW w:w="181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37384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故障描述</w:t>
            </w:r>
          </w:p>
        </w:tc>
        <w:tc>
          <w:tcPr>
            <w:tcW w:w="181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442BD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关键指标</w:t>
            </w:r>
          </w:p>
        </w:tc>
        <w:tc>
          <w:tcPr>
            <w:tcW w:w="157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11D30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目标值</w:t>
            </w:r>
          </w:p>
        </w:tc>
        <w:tc>
          <w:tcPr>
            <w:tcW w:w="128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F8ADB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实际达成</w:t>
            </w:r>
          </w:p>
        </w:tc>
        <w:tc>
          <w:tcPr>
            <w:tcW w:w="76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15BA2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结果</w:t>
            </w:r>
          </w:p>
        </w:tc>
      </w:tr>
      <w:tr w14:paraId="111DCCB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2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FC7C6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场景一</w:t>
            </w:r>
          </w:p>
        </w:tc>
        <w:tc>
          <w:tcPr>
            <w:tcW w:w="18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8E635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机房电力中断</w:t>
            </w:r>
          </w:p>
        </w:tc>
        <w:tc>
          <w:tcPr>
            <w:tcW w:w="18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6844F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电力恢复时间</w:t>
            </w:r>
          </w:p>
        </w:tc>
        <w:tc>
          <w:tcPr>
            <w:tcW w:w="15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3403E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≤2小时</w:t>
            </w:r>
          </w:p>
        </w:tc>
        <w:tc>
          <w:tcPr>
            <w:tcW w:w="12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EC0EE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12分钟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E754F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  <w:tr w14:paraId="12E19F2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2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6CC97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场景二</w:t>
            </w:r>
          </w:p>
        </w:tc>
        <w:tc>
          <w:tcPr>
            <w:tcW w:w="18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86A6F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核心硬件故障</w:t>
            </w:r>
          </w:p>
        </w:tc>
        <w:tc>
          <w:tcPr>
            <w:tcW w:w="181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C335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厂商报修完成</w:t>
            </w:r>
          </w:p>
        </w:tc>
        <w:tc>
          <w:tcPr>
            <w:tcW w:w="157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B8F6A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≤30分钟</w:t>
            </w:r>
          </w:p>
        </w:tc>
        <w:tc>
          <w:tcPr>
            <w:tcW w:w="128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ABC6C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12分钟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53446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  <w:tr w14:paraId="2DB8404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02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585CA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场景三</w:t>
            </w:r>
          </w:p>
        </w:tc>
        <w:tc>
          <w:tcPr>
            <w:tcW w:w="18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40494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安防审计异常</w:t>
            </w:r>
          </w:p>
        </w:tc>
        <w:tc>
          <w:tcPr>
            <w:tcW w:w="181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F7B95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审计恢复时间</w:t>
            </w:r>
          </w:p>
        </w:tc>
        <w:tc>
          <w:tcPr>
            <w:tcW w:w="157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AE1F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≤5个工作日</w:t>
            </w:r>
          </w:p>
        </w:tc>
        <w:tc>
          <w:tcPr>
            <w:tcW w:w="128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58C6C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12分钟</w:t>
            </w:r>
          </w:p>
        </w:tc>
        <w:tc>
          <w:tcPr>
            <w:tcW w:w="76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E819C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达标</w:t>
            </w:r>
          </w:p>
        </w:tc>
      </w:tr>
    </w:tbl>
    <w:p w14:paraId="49E5BF5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0" w:name="heading_12"/>
      <w:bookmarkStart w:id="21" w:name="_Toc14755"/>
      <w:r>
        <w:t>演练成效</w:t>
      </w:r>
      <w:bookmarkEnd w:id="20"/>
      <w:bookmarkEnd w:id="21"/>
    </w:p>
    <w:p w14:paraId="1055921B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预案验证成功：全面验证了《运维服务应急预案》的完整性、规范性与可操作性，各场景处置流程贴合现场实际，制度落地性强。</w:t>
      </w:r>
    </w:p>
    <w:p w14:paraId="7A641EE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响应时效达标：故障发现、应急上报、应急启动、故障恢复全流程时效均优于预案既定目标，响应处置效率远超标准要求。</w:t>
      </w:r>
    </w:p>
    <w:p w14:paraId="3A4A630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协同机制顺畅：运维团队与甲方、数据中心运维方、设备厂商联动高效，信息传递及时、工作衔接顺畅，多方协同应急机制有效落地。</w:t>
      </w:r>
    </w:p>
    <w:p w14:paraId="2126E76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团队能力提升：通过全流程实战演练，运维团队熟练掌握各类典型故障处置流程，故障诊断、应急处置、沟通对接能力得到实质性提升。</w:t>
      </w:r>
    </w:p>
    <w:p w14:paraId="6D0401C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2" w:name="heading_13"/>
      <w:bookmarkStart w:id="23" w:name="_Toc427"/>
      <w:r>
        <w:t>应急事件处置情况</w:t>
      </w:r>
      <w:bookmarkEnd w:id="22"/>
      <w:bookmarkEnd w:id="23"/>
    </w:p>
    <w:p w14:paraId="43E62CF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4" w:name="heading_14"/>
      <w:bookmarkStart w:id="25" w:name="_Toc28743"/>
      <w:r>
        <w:t>年度应急事件统计</w:t>
      </w:r>
      <w:bookmarkEnd w:id="24"/>
      <w:bookmarkEnd w:id="25"/>
    </w:p>
    <w:p w14:paraId="5D46E249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2025年度，项目严格落实常态化运维巡检与风险防控工作，未发生Ⅰ级、Ⅱ级重大应急事件，日常出现的一般性设备告警、审计异常等问题，均第一时间完成处置、闭环整改，未对甲方业务运行造成任何影响。</w:t>
      </w:r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416"/>
        <w:gridCol w:w="1723"/>
        <w:gridCol w:w="2417"/>
        <w:gridCol w:w="1724"/>
      </w:tblGrid>
      <w:tr w14:paraId="287FA19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41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472105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事件类型</w:t>
            </w:r>
          </w:p>
        </w:tc>
        <w:tc>
          <w:tcPr>
            <w:tcW w:w="172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7B2E5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发生次数</w:t>
            </w:r>
          </w:p>
        </w:tc>
        <w:tc>
          <w:tcPr>
            <w:tcW w:w="241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4DAD8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处置结果</w:t>
            </w:r>
          </w:p>
        </w:tc>
        <w:tc>
          <w:tcPr>
            <w:tcW w:w="172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F603EB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是否升级</w:t>
            </w:r>
          </w:p>
        </w:tc>
      </w:tr>
      <w:tr w14:paraId="789B443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F7CF8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机房环境异常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0AAC7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0次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787B0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—</w:t>
            </w:r>
          </w:p>
        </w:tc>
        <w:tc>
          <w:tcPr>
            <w:tcW w:w="17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44A04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否</w:t>
            </w:r>
          </w:p>
        </w:tc>
      </w:tr>
      <w:tr w14:paraId="20A75D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3E48D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核心硬件故障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A6DA6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0次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2EFFF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—</w:t>
            </w:r>
          </w:p>
        </w:tc>
        <w:tc>
          <w:tcPr>
            <w:tcW w:w="17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969FBD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否</w:t>
            </w:r>
          </w:p>
        </w:tc>
      </w:tr>
      <w:tr w14:paraId="7FC71D6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43801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硬件告警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14846D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2次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11551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已处理、闭环</w:t>
            </w:r>
          </w:p>
        </w:tc>
        <w:tc>
          <w:tcPr>
            <w:tcW w:w="17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1E902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否</w:t>
            </w:r>
          </w:p>
        </w:tc>
      </w:tr>
      <w:tr w14:paraId="278321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410E9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安防审计异常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8744C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1次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4122C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已处理、闭环</w:t>
            </w:r>
          </w:p>
        </w:tc>
        <w:tc>
          <w:tcPr>
            <w:tcW w:w="17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EC1FA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否</w:t>
            </w:r>
          </w:p>
        </w:tc>
      </w:tr>
      <w:tr w14:paraId="046D594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E0BA6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咨询类事件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C9908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28次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1F5E2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已处理、闭环</w:t>
            </w:r>
          </w:p>
        </w:tc>
        <w:tc>
          <w:tcPr>
            <w:tcW w:w="172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D14563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否</w:t>
            </w:r>
          </w:p>
        </w:tc>
      </w:tr>
      <w:tr w14:paraId="0AF3BD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41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02F30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17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E8C2C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31次</w:t>
            </w:r>
          </w:p>
        </w:tc>
        <w:tc>
          <w:tcPr>
            <w:tcW w:w="24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84A54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b/>
              </w:rPr>
              <w:t>—</w:t>
            </w:r>
          </w:p>
        </w:tc>
        <w:tc>
          <w:tcPr>
            <w:tcW w:w="17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78F585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—</w:t>
            </w:r>
          </w:p>
        </w:tc>
      </w:tr>
    </w:tbl>
    <w:p w14:paraId="346551C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heading_15"/>
      <w:bookmarkStart w:id="27" w:name="_Toc12939"/>
      <w:r>
        <w:t>典型事件处置</w:t>
      </w:r>
      <w:bookmarkEnd w:id="26"/>
      <w:bookmarkEnd w:id="27"/>
    </w:p>
    <w:tbl>
      <w:tblPr>
        <w:tblStyle w:val="20"/>
        <w:tblW w:w="9061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10"/>
        <w:gridCol w:w="799"/>
        <w:gridCol w:w="2833"/>
        <w:gridCol w:w="3087"/>
        <w:gridCol w:w="1432"/>
      </w:tblGrid>
      <w:tr w14:paraId="197487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91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79D73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时间</w:t>
            </w:r>
          </w:p>
        </w:tc>
        <w:tc>
          <w:tcPr>
            <w:tcW w:w="79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EB02E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事件类型</w:t>
            </w:r>
          </w:p>
        </w:tc>
        <w:tc>
          <w:tcPr>
            <w:tcW w:w="283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958E2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事件描述</w:t>
            </w:r>
          </w:p>
        </w:tc>
        <w:tc>
          <w:tcPr>
            <w:tcW w:w="308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48E86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处置措施</w:t>
            </w:r>
          </w:p>
        </w:tc>
        <w:tc>
          <w:tcPr>
            <w:tcW w:w="143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E948A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处置结果</w:t>
            </w:r>
          </w:p>
        </w:tc>
      </w:tr>
      <w:tr w14:paraId="2DB92A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C58A7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2025年3月</w:t>
            </w:r>
          </w:p>
        </w:tc>
        <w:tc>
          <w:tcPr>
            <w:tcW w:w="7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C5446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硬件告警</w:t>
            </w:r>
          </w:p>
        </w:tc>
        <w:tc>
          <w:tcPr>
            <w:tcW w:w="28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45309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超融合节点磁盘使用率超过85%，触发监控告警</w:t>
            </w:r>
          </w:p>
        </w:tc>
        <w:tc>
          <w:tcPr>
            <w:tcW w:w="30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510C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第一时间核查磁盘存储数据，梳理无用冗余文件，同步告知甲方存储现状，协助制定磁盘扩容规划</w:t>
            </w:r>
          </w:p>
        </w:tc>
        <w:tc>
          <w:tcPr>
            <w:tcW w:w="14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7E0F4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已解决，风险提前规避</w:t>
            </w:r>
          </w:p>
        </w:tc>
      </w:tr>
      <w:tr w14:paraId="1AFDC6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1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3F774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2025年5月</w:t>
            </w:r>
          </w:p>
        </w:tc>
        <w:tc>
          <w:tcPr>
            <w:tcW w:w="79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54F53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硬件告警</w:t>
            </w:r>
          </w:p>
        </w:tc>
        <w:tc>
          <w:tcPr>
            <w:tcW w:w="283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89C6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备份服务器硬盘出现SMART异常告警，存在硬盘损坏风险</w:t>
            </w:r>
          </w:p>
        </w:tc>
        <w:tc>
          <w:tcPr>
            <w:tcW w:w="308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A2592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立即核查硬盘运行状态，备份关键业务数据，快速对接设备厂商提交报修，全程跟进更换流程</w:t>
            </w:r>
          </w:p>
        </w:tc>
        <w:tc>
          <w:tcPr>
            <w:tcW w:w="143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C6151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已解决，硬盘更换完成，业务正常</w:t>
            </w:r>
          </w:p>
        </w:tc>
      </w:tr>
      <w:tr w14:paraId="496DC2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91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D4CD1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2025年8月</w:t>
            </w:r>
          </w:p>
        </w:tc>
        <w:tc>
          <w:tcPr>
            <w:tcW w:w="79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FA98E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安防审计异常</w:t>
            </w:r>
          </w:p>
        </w:tc>
        <w:tc>
          <w:tcPr>
            <w:tcW w:w="28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5F97E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日志审计系统出现规则误报，产生无效告警信息</w:t>
            </w:r>
          </w:p>
        </w:tc>
        <w:tc>
          <w:tcPr>
            <w:tcW w:w="308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C75E4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逐条核查告警规则，优化阈值与匹配逻辑，清理无效规则，规避重复误报问题</w:t>
            </w:r>
          </w:p>
        </w:tc>
        <w:tc>
          <w:tcPr>
            <w:tcW w:w="143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38AACD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已解决，告警准确率显著提升</w:t>
            </w:r>
          </w:p>
        </w:tc>
      </w:tr>
    </w:tbl>
    <w:p w14:paraId="1C044907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heading_16"/>
      <w:bookmarkStart w:id="29" w:name="_Toc23273"/>
      <w:r>
        <w:t>应急处置能力评估</w:t>
      </w:r>
      <w:bookmarkEnd w:id="28"/>
      <w:bookmarkEnd w:id="29"/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86"/>
        <w:gridCol w:w="6594"/>
      </w:tblGrid>
      <w:tr w14:paraId="55C5E7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1686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495A1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评估维度</w:t>
            </w:r>
          </w:p>
        </w:tc>
        <w:tc>
          <w:tcPr>
            <w:tcW w:w="6594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0A40B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评价</w:t>
            </w:r>
          </w:p>
        </w:tc>
      </w:tr>
      <w:tr w14:paraId="29AB6E2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06F807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故障发现能力</w:t>
            </w:r>
          </w:p>
        </w:tc>
        <w:tc>
          <w:tcPr>
            <w:tcW w:w="65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ACDDD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监控系统全覆盖、7×24小时值守，告警触发及时，无漏报、迟报情况</w:t>
            </w:r>
          </w:p>
        </w:tc>
      </w:tr>
      <w:tr w14:paraId="71D57A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355F1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故障上报流程</w:t>
            </w:r>
          </w:p>
        </w:tc>
        <w:tc>
          <w:tcPr>
            <w:tcW w:w="65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E4218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上报流程规范清晰，分级上报落实到位，平均上报时长2-3分钟，时效达标</w:t>
            </w:r>
          </w:p>
        </w:tc>
      </w:tr>
      <w:tr w14:paraId="18145C2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C7CA2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应急响应启动</w:t>
            </w:r>
          </w:p>
        </w:tc>
        <w:tc>
          <w:tcPr>
            <w:tcW w:w="65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6158E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应急决策快速准确，响应启动及时，平均启动时长3-4分钟，远优于既定标准</w:t>
            </w:r>
          </w:p>
        </w:tc>
      </w:tr>
      <w:tr w14:paraId="269C2B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86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FD4FB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故障处置效率</w:t>
            </w:r>
          </w:p>
        </w:tc>
        <w:tc>
          <w:tcPr>
            <w:tcW w:w="659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55EF5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处置流程标准化、专业化，故障闭环速度快，全面优于项目SLA服务要求</w:t>
            </w:r>
          </w:p>
        </w:tc>
      </w:tr>
      <w:tr w14:paraId="4EEBD05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686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2F263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客户沟通</w:t>
            </w:r>
          </w:p>
        </w:tc>
        <w:tc>
          <w:tcPr>
            <w:tcW w:w="659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1C2CE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故障全程实时通报进展，信息透明、对接及时，甲方满意度良好</w:t>
            </w:r>
          </w:p>
        </w:tc>
      </w:tr>
    </w:tbl>
    <w:p w14:paraId="507E80A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0" w:name="heading_17"/>
      <w:bookmarkStart w:id="31" w:name="_Toc2050"/>
      <w:r>
        <w:t>存在问题与改进措施</w:t>
      </w:r>
      <w:bookmarkEnd w:id="30"/>
      <w:bookmarkEnd w:id="31"/>
    </w:p>
    <w:p w14:paraId="4054AF5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2" w:name="heading_18"/>
      <w:bookmarkStart w:id="33" w:name="_Toc29451"/>
      <w:r>
        <w:t>年度问题整改情况</w:t>
      </w:r>
      <w:bookmarkEnd w:id="32"/>
      <w:bookmarkEnd w:id="33"/>
    </w:p>
    <w:tbl>
      <w:tblPr>
        <w:tblStyle w:val="20"/>
        <w:tblW w:w="10313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621"/>
        <w:gridCol w:w="2440"/>
        <w:gridCol w:w="1108"/>
        <w:gridCol w:w="2839"/>
        <w:gridCol w:w="1338"/>
        <w:gridCol w:w="1171"/>
        <w:gridCol w:w="796"/>
      </w:tblGrid>
      <w:tr w14:paraId="3203710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47383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244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3291F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问题描述</w:t>
            </w:r>
          </w:p>
        </w:tc>
        <w:tc>
          <w:tcPr>
            <w:tcW w:w="110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D69BA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发现时间</w:t>
            </w:r>
          </w:p>
        </w:tc>
        <w:tc>
          <w:tcPr>
            <w:tcW w:w="2839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408A0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改进措施</w:t>
            </w:r>
          </w:p>
        </w:tc>
        <w:tc>
          <w:tcPr>
            <w:tcW w:w="133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08C40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1171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FCB6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完成时间</w:t>
            </w:r>
          </w:p>
        </w:tc>
        <w:tc>
          <w:tcPr>
            <w:tcW w:w="79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70C10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状态</w:t>
            </w:r>
          </w:p>
        </w:tc>
      </w:tr>
      <w:tr w14:paraId="58041AA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7D8D0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24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ABF9A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备份恢复脚本部分操作依赖手工，自动化程度不足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FA118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2025.09</w:t>
            </w: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3F2E2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优化备份恢复脚本，梳理手工操作环节，实现一键化自动恢复，降低人工操作风险</w:t>
            </w:r>
          </w:p>
        </w:tc>
        <w:tc>
          <w:tcPr>
            <w:tcW w:w="13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95261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11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09BD6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2026.01</w:t>
            </w:r>
          </w:p>
        </w:tc>
        <w:tc>
          <w:tcPr>
            <w:tcW w:w="79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421CB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进行中</w:t>
            </w:r>
          </w:p>
        </w:tc>
      </w:tr>
      <w:tr w14:paraId="5B89AEA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BF561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24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533EF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应急通讯录未包含夜间值班联系方式，夜间应急沟通存在隐患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7A929D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2025.09</w:t>
            </w: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F1C77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全面更新应急通讯录，补充数据中心、厂商、内部值班24小时联系方式</w:t>
            </w:r>
          </w:p>
        </w:tc>
        <w:tc>
          <w:tcPr>
            <w:tcW w:w="13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7F39F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服务台专员</w:t>
            </w:r>
          </w:p>
        </w:tc>
        <w:tc>
          <w:tcPr>
            <w:tcW w:w="11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ED5085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2025.09</w:t>
            </w:r>
          </w:p>
        </w:tc>
        <w:tc>
          <w:tcPr>
            <w:tcW w:w="79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77991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1991616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A7912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24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8A264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备用物资存放位置未明确标识，物资取用不便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91F0E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2025.09</w:t>
            </w: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766EF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建立标准化应急物资台账，统一张贴物资标识牌，明确存放区域与保管责任</w:t>
            </w:r>
          </w:p>
        </w:tc>
        <w:tc>
          <w:tcPr>
            <w:tcW w:w="13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4E03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后勤支持组</w:t>
            </w:r>
          </w:p>
        </w:tc>
        <w:tc>
          <w:tcPr>
            <w:tcW w:w="11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8D7038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2025.09</w:t>
            </w:r>
          </w:p>
        </w:tc>
        <w:tc>
          <w:tcPr>
            <w:tcW w:w="79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EAEBD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6AF942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6B309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244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5D2B4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安防审计告警规则不完善，存在少量误报情况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7FDAA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2025.09</w:t>
            </w: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6B7EC4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持续迭代优化审计告警规则，调整匹配阈值，筛选无效告警，提升告警精准度</w:t>
            </w:r>
          </w:p>
        </w:tc>
        <w:tc>
          <w:tcPr>
            <w:tcW w:w="133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56B59E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1171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A2D1CE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2025.10</w:t>
            </w:r>
          </w:p>
        </w:tc>
        <w:tc>
          <w:tcPr>
            <w:tcW w:w="79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B4BB7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  <w:tr w14:paraId="6F73D63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1225F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244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34AD4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硬件故障诊断无标准化流程，过度依赖运维人员人工经验</w:t>
            </w:r>
          </w:p>
        </w:tc>
        <w:tc>
          <w:tcPr>
            <w:tcW w:w="11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9D527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2025.09</w:t>
            </w:r>
          </w:p>
        </w:tc>
        <w:tc>
          <w:tcPr>
            <w:tcW w:w="28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FEFC2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编制《硬件故障诊断标准操作流程》，统一诊断步骤、判断标准与处置规范</w:t>
            </w:r>
          </w:p>
        </w:tc>
        <w:tc>
          <w:tcPr>
            <w:tcW w:w="133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C0546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运维工程师</w:t>
            </w:r>
          </w:p>
        </w:tc>
        <w:tc>
          <w:tcPr>
            <w:tcW w:w="117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F60CD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2025.10</w:t>
            </w:r>
          </w:p>
        </w:tc>
        <w:tc>
          <w:tcPr>
            <w:tcW w:w="79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9B741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已完成</w:t>
            </w:r>
          </w:p>
        </w:tc>
      </w:tr>
    </w:tbl>
    <w:p w14:paraId="117CABBF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19"/>
      <w:bookmarkStart w:id="35" w:name="_Toc27688"/>
      <w:r>
        <w:t>年度整改成效</w:t>
      </w:r>
      <w:bookmarkEnd w:id="34"/>
      <w:bookmarkEnd w:id="35"/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409"/>
        <w:gridCol w:w="3492"/>
        <w:gridCol w:w="3379"/>
      </w:tblGrid>
      <w:tr w14:paraId="3076F6D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D27E0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指标</w:t>
            </w:r>
          </w:p>
        </w:tc>
        <w:tc>
          <w:tcPr>
            <w:tcW w:w="349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8BB67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整改前</w:t>
            </w:r>
          </w:p>
        </w:tc>
        <w:tc>
          <w:tcPr>
            <w:tcW w:w="3379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EF0B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整改后</w:t>
            </w:r>
          </w:p>
        </w:tc>
      </w:tr>
      <w:tr w14:paraId="1135947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F7F75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应急通讯录完整性</w:t>
            </w:r>
          </w:p>
        </w:tc>
        <w:tc>
          <w:tcPr>
            <w:tcW w:w="34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CB199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缺少夜间值班及24小时应急联系方式，沟通覆盖不全</w:t>
            </w:r>
          </w:p>
        </w:tc>
        <w:tc>
          <w:tcPr>
            <w:tcW w:w="33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5C322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24小时应急联系方式全覆盖，全天候沟通保障到位</w:t>
            </w:r>
          </w:p>
        </w:tc>
      </w:tr>
      <w:tr w14:paraId="7A492D9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B0A290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物资管理规范性</w:t>
            </w:r>
          </w:p>
        </w:tc>
        <w:tc>
          <w:tcPr>
            <w:tcW w:w="34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13DC50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物资存放杂乱、无标识、无台账，管理不规范</w:t>
            </w:r>
          </w:p>
        </w:tc>
        <w:tc>
          <w:tcPr>
            <w:tcW w:w="33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8832F7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物资台账完善、标识清晰、定点存放，管理标准化</w:t>
            </w:r>
          </w:p>
        </w:tc>
      </w:tr>
      <w:tr w14:paraId="308DB98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6E6D22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审计告警准确率</w:t>
            </w:r>
          </w:p>
        </w:tc>
        <w:tc>
          <w:tcPr>
            <w:tcW w:w="349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9E4042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误报率约20%，无效告警较多，增加运维工作量</w:t>
            </w:r>
          </w:p>
        </w:tc>
        <w:tc>
          <w:tcPr>
            <w:tcW w:w="3379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3ACB5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误报率降低约25%，告警精准度大幅提升</w:t>
            </w:r>
          </w:p>
        </w:tc>
      </w:tr>
      <w:tr w14:paraId="73BDFD9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140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7F296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硬件诊断标准化</w:t>
            </w:r>
          </w:p>
        </w:tc>
        <w:tc>
          <w:tcPr>
            <w:tcW w:w="349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5BCDE4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无统一流程，依赖个人经验，处置标准不统一</w:t>
            </w:r>
          </w:p>
        </w:tc>
        <w:tc>
          <w:tcPr>
            <w:tcW w:w="337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31B7E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标准化诊断流程落地，处置规范统一、效率提升</w:t>
            </w:r>
          </w:p>
        </w:tc>
      </w:tr>
    </w:tbl>
    <w:p w14:paraId="4065F77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heading_20"/>
      <w:bookmarkStart w:id="37" w:name="_Toc24216"/>
      <w:r>
        <w:t>下年度工作计划</w:t>
      </w:r>
      <w:bookmarkEnd w:id="36"/>
      <w:bookmarkEnd w:id="37"/>
    </w:p>
    <w:p w14:paraId="6DF34018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8" w:name="heading_21"/>
      <w:bookmarkStart w:id="39" w:name="_Toc2212"/>
      <w:r>
        <w:t>应急体系建设计划</w:t>
      </w:r>
      <w:bookmarkEnd w:id="38"/>
      <w:bookmarkEnd w:id="39"/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02"/>
        <w:gridCol w:w="1662"/>
        <w:gridCol w:w="1183"/>
        <w:gridCol w:w="4733"/>
      </w:tblGrid>
      <w:tr w14:paraId="5EDB7BD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0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FC278C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6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977001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工作计划</w:t>
            </w:r>
          </w:p>
        </w:tc>
        <w:tc>
          <w:tcPr>
            <w:tcW w:w="118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D94AC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473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0CF01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预期目标</w:t>
            </w:r>
          </w:p>
        </w:tc>
      </w:tr>
      <w:tr w14:paraId="64C3A4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0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81E26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42BE47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修订应急预案</w:t>
            </w:r>
          </w:p>
        </w:tc>
        <w:tc>
          <w:tcPr>
            <w:tcW w:w="11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90F7F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2026年2月</w:t>
            </w:r>
          </w:p>
        </w:tc>
        <w:tc>
          <w:tcPr>
            <w:tcW w:w="47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A45DE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结合本年度演练、故障处置经验，优化预案流程，补齐短板，提升预案贴合度</w:t>
            </w:r>
          </w:p>
        </w:tc>
      </w:tr>
      <w:tr w14:paraId="3C160CA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0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E19E00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42B725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补充应急物资</w:t>
            </w:r>
          </w:p>
        </w:tc>
        <w:tc>
          <w:tcPr>
            <w:tcW w:w="118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FB142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473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3CC43B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增配备用交换机、备用硬盘等核心应急物资，完善物资储备体系</w:t>
            </w:r>
          </w:p>
        </w:tc>
      </w:tr>
      <w:tr w14:paraId="0846A7F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0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DF2F9E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6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DDA86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完善物资台账</w:t>
            </w:r>
          </w:p>
        </w:tc>
        <w:tc>
          <w:tcPr>
            <w:tcW w:w="118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93AE19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2026年3月</w:t>
            </w:r>
          </w:p>
        </w:tc>
        <w:tc>
          <w:tcPr>
            <w:tcW w:w="473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B03DCB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搭建电子化物资管理台账，实现物资入库、盘点、更换全流程数字化管理</w:t>
            </w:r>
          </w:p>
        </w:tc>
      </w:tr>
    </w:tbl>
    <w:p w14:paraId="1995011B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0" w:name="heading_22"/>
      <w:bookmarkStart w:id="41" w:name="_Toc30302"/>
      <w:r>
        <w:t>应急演练计划</w:t>
      </w:r>
      <w:bookmarkEnd w:id="40"/>
      <w:bookmarkEnd w:id="41"/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90"/>
        <w:gridCol w:w="3942"/>
        <w:gridCol w:w="1685"/>
        <w:gridCol w:w="1863"/>
      </w:tblGrid>
      <w:tr w14:paraId="782824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90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BC159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94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C79CF9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演练内容</w:t>
            </w:r>
          </w:p>
        </w:tc>
        <w:tc>
          <w:tcPr>
            <w:tcW w:w="168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EAB66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186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3D113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演练类型</w:t>
            </w:r>
          </w:p>
        </w:tc>
      </w:tr>
      <w:tr w14:paraId="6746E0B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2040D4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39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B987B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机房电力中断专项应急处置演练</w:t>
            </w:r>
          </w:p>
        </w:tc>
        <w:tc>
          <w:tcPr>
            <w:tcW w:w="16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532C6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2026年5月</w:t>
            </w:r>
          </w:p>
        </w:tc>
        <w:tc>
          <w:tcPr>
            <w:tcW w:w="18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FE1C2C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实战演练</w:t>
            </w:r>
          </w:p>
        </w:tc>
      </w:tr>
      <w:tr w14:paraId="2CBC870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0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C7B85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394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B388FEA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服务器硬件故障排查与恢复演练</w:t>
            </w:r>
          </w:p>
        </w:tc>
        <w:tc>
          <w:tcPr>
            <w:tcW w:w="168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6F74C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2026年7月</w:t>
            </w:r>
          </w:p>
        </w:tc>
        <w:tc>
          <w:tcPr>
            <w:tcW w:w="18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DAC6C6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实战演练</w:t>
            </w:r>
          </w:p>
        </w:tc>
      </w:tr>
      <w:tr w14:paraId="1C6657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90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1F1C48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39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8DE7A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全场景综合性应急演练</w:t>
            </w:r>
          </w:p>
        </w:tc>
        <w:tc>
          <w:tcPr>
            <w:tcW w:w="168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04CB37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2026年10月</w:t>
            </w:r>
          </w:p>
        </w:tc>
        <w:tc>
          <w:tcPr>
            <w:tcW w:w="18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AC5575D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综合实战演练</w:t>
            </w:r>
          </w:p>
        </w:tc>
      </w:tr>
    </w:tbl>
    <w:p w14:paraId="402DC494">
      <w:pPr>
        <w:pStyle w:val="3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2" w:name="heading_23"/>
      <w:bookmarkStart w:id="43" w:name="_Toc22980"/>
      <w:r>
        <w:t>能力提升计划</w:t>
      </w:r>
      <w:bookmarkEnd w:id="42"/>
      <w:bookmarkEnd w:id="43"/>
    </w:p>
    <w:tbl>
      <w:tblPr>
        <w:tblStyle w:val="20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3"/>
        <w:gridCol w:w="1939"/>
        <w:gridCol w:w="2148"/>
        <w:gridCol w:w="3480"/>
      </w:tblGrid>
      <w:tr w14:paraId="5F59D7D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13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75FFC5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5E2D8B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工作计划</w:t>
            </w:r>
          </w:p>
        </w:tc>
        <w:tc>
          <w:tcPr>
            <w:tcW w:w="214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690DD4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计划时间</w:t>
            </w:r>
          </w:p>
        </w:tc>
        <w:tc>
          <w:tcPr>
            <w:tcW w:w="3480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9DB5F1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预期目标</w:t>
            </w:r>
          </w:p>
        </w:tc>
      </w:tr>
      <w:tr w14:paraId="54A50F0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5CCFD3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3D6789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全员应急技能专项培训</w:t>
            </w:r>
          </w:p>
        </w:tc>
        <w:tc>
          <w:tcPr>
            <w:tcW w:w="21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03D132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2026年3月、8月</w:t>
            </w:r>
          </w:p>
        </w:tc>
        <w:tc>
          <w:tcPr>
            <w:tcW w:w="34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9E7A3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实现全员熟练掌握各类故障应急处置流程、操作规范，提升团队整体应急能力</w:t>
            </w:r>
          </w:p>
        </w:tc>
      </w:tr>
      <w:tr w14:paraId="728B31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3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230B2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FFA05C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自动化备份恢复工具部署落地</w:t>
            </w:r>
          </w:p>
        </w:tc>
        <w:tc>
          <w:tcPr>
            <w:tcW w:w="21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CE3EB5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2026年6月</w:t>
            </w:r>
          </w:p>
        </w:tc>
        <w:tc>
          <w:tcPr>
            <w:tcW w:w="3480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BC06E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完成备份恢复一键化改造，减少人工干预，提升故障恢复效率，降低操作风险</w:t>
            </w:r>
          </w:p>
        </w:tc>
      </w:tr>
      <w:tr w14:paraId="76EFE5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3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01D9289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39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531CEF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监控告警阈值优化升级</w:t>
            </w:r>
          </w:p>
        </w:tc>
        <w:tc>
          <w:tcPr>
            <w:tcW w:w="21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042C88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2026年5月</w:t>
            </w:r>
          </w:p>
        </w:tc>
        <w:tc>
          <w:tcPr>
            <w:tcW w:w="34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613F2E">
            <w:pPr>
              <w:pStyle w:val="29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精准优化各类监控阈值，彻底减少告警误报、漏报问题，提升监控预警有效性</w:t>
            </w:r>
          </w:p>
        </w:tc>
      </w:tr>
    </w:tbl>
    <w:p w14:paraId="3A2D22A0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44" w:name="heading_24"/>
      <w:bookmarkStart w:id="45" w:name="_Toc6468"/>
      <w:r>
        <w:t>附件</w:t>
      </w:r>
      <w:bookmarkEnd w:id="44"/>
      <w:bookmarkEnd w:id="45"/>
    </w:p>
    <w:p w14:paraId="0867AE0C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附件1：《运维应急管理制度》（ZGS-10-01）</w:t>
      </w:r>
    </w:p>
    <w:p w14:paraId="248ED9F5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附件2：《应急演练大纲》（ZGS-10-02）</w:t>
      </w:r>
    </w:p>
    <w:p w14:paraId="5B69D340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附件3：《运维服务应急预案》（ZGS-10-03）</w:t>
      </w:r>
    </w:p>
    <w:p w14:paraId="2A28D7F3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附件4：《应急演练计划》（ZGS-10-04）</w:t>
      </w:r>
    </w:p>
    <w:p w14:paraId="523F978E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附件5：《应急演练报告》（ZGS-10-05）</w:t>
      </w:r>
    </w:p>
    <w:p w14:paraId="7330353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附件6：《应急物资清单》</w:t>
      </w:r>
    </w:p>
    <w:p w14:paraId="5CAEABB8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附件7：《应急通讯联络表》</w:t>
      </w:r>
    </w:p>
    <w:p w14:paraId="780E3196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附件8：《演练问题整改跟踪表》</w:t>
      </w:r>
    </w:p>
    <w:p w14:paraId="788EF342">
      <w:pPr>
        <w:pStyle w:val="29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</w:p>
    <w:sectPr>
      <w:headerReference r:id="rId5" w:type="default"/>
      <w:footerReference w:type="default" r:id="rId11"/>
      <w:headerReference w:type="first" r:id="rId12"/>
      <w:footerReference w:type="first" r:id="rId13"/>
      <w:headerReference w:type="even" r:id="rId14"/>
      <w:footerReference w:type="even" r:id="rId15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653052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  <w:tab/>
      <w:t>重庆市鹧鸪哨信息技术有限责任公司</w:t>
    </w:r>
    <w:r>
      <w:rPr>
        <w:rFonts w:hint="eastAsia" w:eastAsiaTheme="minorEastAsia"/>
        <w:lang w:val="en-US" w:eastAsia="zh-CN"/>
      </w:rPr>
    </w:r>
    <w:r>
      <w:rPr>
        <w:rFonts w:hint="eastAsia" w:eastAsiaTheme="minorEastAsia"/>
        <w:lang w:val="en-US" w:eastAsia="zh-CN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EB524AA"/>
    <w:rsid w:val="441722A4"/>
    <w:rsid w:val="51AE646F"/>
    <w:rsid w:val="79075C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link w:val="43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  <w:style w:type="character" w:customStyle="1" w:styleId="43">
    <w:name w:val="柴_标题3 Char"/>
    <w:link w:val="31"/>
    <w:qFormat/>
    <w:uiPriority w:val="0"/>
    <w:rPr>
      <w:rFonts w:ascii="宋体" w:hAnsi="宋体" w:eastAsia="宋体" w:cs="宋体"/>
      <w:spacing w:val="-2"/>
      <w:sz w:val="24"/>
      <w:szCs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Relationship Id="rId11" Type="http://schemas.openxmlformats.org/officeDocument/2006/relationships/footer" Target="footer1.xml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3693</Words>
  <Characters>4110</Characters>
  <Lines>0</Lines>
  <Paragraphs>0</Paragraphs>
  <TotalTime>0</TotalTime>
  <ScaleCrop>false</ScaleCrop>
  <LinksUpToDate>false</LinksUpToDate>
  <CharactersWithSpaces>4388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2026-05-26T16:34:27Z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2052-12.1.0.26375</vt:lpwstr>
  </property>
  <property fmtid="{D5CDD505-2E9C-101B-9397-08002B2CF9AE}" pid="4" name="KSOTemplateDocerSaveRecord">
    <vt:lpwstr>eyJoZGlkIjoiYWNlNzNhNmIzOTIzZGY2M2QzZGFjMTM3NDZmMGZlYmUiLCJ1c2VySWQiOiIxMDc1MzgyOSJ9</vt:lpwstr>
  </property>
</Properties>
</file>