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C301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83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1E3D1F6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652"/>
      <w:r>
        <w:rPr>
          <w:rFonts w:hint="eastAsia"/>
          <w:lang w:val="en-US" w:eastAsia="zh-CN"/>
        </w:rPr>
        <w:t>2026年度1-5月运维服务</w:t>
        <w:br/>
        <w:t>能力管理报告</w:t>
      </w: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  <w:bookmarkEnd w:id="1"/>
    </w:p>
    <w:p w14:paraId="505F60C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文件编号：ZGSJ-03-09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C33B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ECF11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  <w:tc>
          <w:tcPr>
            <w:tcW w:w="2708" w:type="dxa"/>
          </w:tcPr>
          <w:p w14:paraId="737AF6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编制时间:2026.05.31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</w:tr>
      <w:tr w14:paraId="1E8CA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504E7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50D84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审核时间:2026.05.31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</w:tr>
      <w:tr w14:paraId="069A5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20AFB4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026E88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审批时间:2026.05.31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</w:tr>
    </w:tbl>
    <w:p w14:paraId="63E81EB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804918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4A11E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2C67C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4C40B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B6047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0E6CE5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09079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44072C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2026.05.31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</w:r>
          </w:p>
        </w:tc>
        <w:tc>
          <w:tcPr>
            <w:tcW w:w="919" w:type="dxa"/>
          </w:tcPr>
          <w:p w14:paraId="70FEFB8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32F6D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0CF3ED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 w14:paraId="3338B3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9195B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47762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AEE89A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C08127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EE114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8D69C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E13B56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B0529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4A4169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02FEE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651682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E0323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A3D3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8C9EA6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2FE37D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BCEDDC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109D643">
          <w:pPr>
            <w:pStyle w:val="16"/>
            <w:tabs>
              <w:tab w:val="right" w:leader="dot" w:pos="8306"/>
            </w:tabs>
          </w:pPr>
          <w:bookmarkStart w:id="71" w:name="_GoBack"/>
          <w:bookmarkEnd w:id="7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_Toc4832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92C5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2026年度1-4月运维服务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能力管理报告</w:t>
          </w:r>
          <w:r>
            <w:tab/>
          </w:r>
          <w:r>
            <w:fldChar w:fldCharType="begin"/>
          </w:r>
          <w:r>
            <w:instrText xml:space="preserve"> PAGEREF _Toc21652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D773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_Toc2035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25A2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人员管理报告</w:t>
          </w:r>
          <w:r>
            <w:tab/>
          </w:r>
          <w:r>
            <w:fldChar w:fldCharType="begin"/>
          </w:r>
          <w:r>
            <w:instrText xml:space="preserve"> PAGEREF _Toc13718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2B866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1.1.1. </w:t>
          </w:r>
          <w:r>
            <w:rPr>
              <w:rFonts w:hint="eastAsia"/>
              <w:lang w:val="en-US" w:eastAsia="zh-CN"/>
            </w:rPr>
            <w:t>人员招聘管理报告</w:t>
          </w:r>
          <w:r>
            <w:tab/>
          </w:r>
          <w:r>
            <w:fldChar w:fldCharType="begin"/>
          </w:r>
          <w:r>
            <w:instrText xml:space="preserve"> PAGEREF _Toc474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39782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1.1.2. </w:t>
          </w:r>
          <w:r>
            <w:rPr>
              <w:rFonts w:hint="eastAsia"/>
              <w:lang w:val="en-US" w:eastAsia="zh-CN"/>
            </w:rPr>
            <w:t>人员储备管理报告</w:t>
          </w:r>
          <w:r>
            <w:tab/>
          </w:r>
          <w:r>
            <w:fldChar w:fldCharType="begin"/>
          </w:r>
          <w:r>
            <w:instrText xml:space="preserve"> PAGEREF _Toc22578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BD020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1.1.3. </w:t>
          </w:r>
          <w:r>
            <w:rPr>
              <w:rFonts w:hint="eastAsia"/>
              <w:lang w:val="en-US" w:eastAsia="zh-CN"/>
            </w:rPr>
            <w:t>人员绩效考核管理报告</w:t>
          </w:r>
          <w:r>
            <w:tab/>
          </w:r>
          <w:r>
            <w:fldChar w:fldCharType="begin"/>
          </w:r>
          <w:r>
            <w:instrText xml:space="preserve"> PAGEREF _Toc13231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0A486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1.1.4. </w:t>
          </w:r>
          <w:r>
            <w:rPr>
              <w:rFonts w:hint="eastAsia"/>
              <w:lang w:val="en-US" w:eastAsia="zh-CN"/>
            </w:rPr>
            <w:t>人员能力评价管理报告</w:t>
          </w:r>
          <w:r>
            <w:tab/>
          </w:r>
          <w:r>
            <w:fldChar w:fldCharType="begin"/>
          </w:r>
          <w:r>
            <w:instrText xml:space="preserve"> PAGEREF _Toc5590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73AF6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1.1.5. </w:t>
          </w:r>
          <w:r>
            <w:rPr>
              <w:rFonts w:hint="eastAsia"/>
              <w:lang w:val="en-US" w:eastAsia="zh-CN"/>
            </w:rPr>
            <w:t>人员培训管理报告</w:t>
          </w:r>
          <w:r>
            <w:tab/>
          </w:r>
          <w:r>
            <w:fldChar w:fldCharType="begin"/>
          </w:r>
          <w:r>
            <w:instrText xml:space="preserve"> PAGEREF _Toc8443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A590C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1.1.6. </w:t>
          </w:r>
          <w:r>
            <w:rPr>
              <w:rFonts w:hint="eastAsia"/>
              <w:lang w:val="en-US" w:eastAsia="zh-CN"/>
            </w:rPr>
            <w:t>人员备份管理报告</w:t>
          </w:r>
          <w:r>
            <w:tab/>
          </w:r>
          <w:r>
            <w:fldChar w:fldCharType="begin"/>
          </w:r>
          <w:r>
            <w:instrText xml:space="preserve"> PAGEREF _Toc31856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A91E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资源管理报告</w:t>
          </w:r>
          <w:r>
            <w:tab/>
          </w:r>
          <w:r>
            <w:fldChar w:fldCharType="begin"/>
          </w:r>
          <w:r>
            <w:instrText xml:space="preserve"> PAGEREF _Toc32335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E41FD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运维工具管理报告</w:t>
          </w:r>
          <w:r>
            <w:tab/>
          </w:r>
          <w:r>
            <w:fldChar w:fldCharType="begin"/>
          </w:r>
          <w:r>
            <w:instrText xml:space="preserve"> PAGEREF _Toc23336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B8B04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1.2.2. </w:t>
          </w:r>
          <w:r>
            <w:rPr>
              <w:rFonts w:hint="eastAsia"/>
              <w:lang w:val="en-US" w:eastAsia="zh-CN"/>
            </w:rPr>
            <w:t>服务台管理报告</w:t>
          </w:r>
          <w:r>
            <w:tab/>
          </w:r>
          <w:r>
            <w:fldChar w:fldCharType="begin"/>
          </w:r>
          <w:r>
            <w:instrText xml:space="preserve"> PAGEREF _Toc32684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23F10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1.2.3. </w:t>
          </w:r>
          <w:r>
            <w:rPr>
              <w:rFonts w:hint="eastAsia"/>
              <w:lang w:val="en-US" w:eastAsia="zh-CN"/>
            </w:rPr>
            <w:t>备件库管理报告</w:t>
          </w:r>
          <w:r>
            <w:tab/>
          </w:r>
          <w:r>
            <w:fldChar w:fldCharType="begin"/>
          </w:r>
          <w:r>
            <w:instrText xml:space="preserve"> PAGEREF _Toc31140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3B3BC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服务知识管理报告</w:t>
          </w:r>
          <w:r>
            <w:tab/>
          </w:r>
          <w:r>
            <w:fldChar w:fldCharType="begin"/>
          </w:r>
          <w:r>
            <w:instrText xml:space="preserve"> PAGEREF _Toc19230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27998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1.2.5. </w:t>
          </w:r>
          <w:r>
            <w:rPr>
              <w:rFonts w:hint="eastAsia"/>
              <w:lang w:val="en-US" w:eastAsia="zh-CN"/>
            </w:rPr>
            <w:t>最终软件库管理报告</w:t>
          </w:r>
          <w:r>
            <w:tab/>
          </w:r>
          <w:r>
            <w:fldChar w:fldCharType="begin"/>
          </w:r>
          <w:r>
            <w:instrText xml:space="preserve"> PAGEREF _Toc30395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27062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1.2.6. </w:t>
          </w:r>
          <w:r>
            <w:rPr>
              <w:rFonts w:hint="eastAsia"/>
              <w:lang w:val="en-US" w:eastAsia="zh-CN"/>
            </w:rPr>
            <w:t>服务数据管理报告</w:t>
          </w:r>
          <w:r>
            <w:tab/>
          </w:r>
          <w:r>
            <w:fldChar w:fldCharType="begin"/>
          </w:r>
          <w:r>
            <w:instrText xml:space="preserve"> PAGEREF _Toc14645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53BB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技术管理报告</w:t>
          </w:r>
          <w:r>
            <w:tab/>
          </w:r>
          <w:r>
            <w:fldChar w:fldCharType="begin"/>
          </w:r>
          <w:r>
            <w:instrText xml:space="preserve"> PAGEREF _Toc29063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F0BE5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1.3.1. </w:t>
          </w:r>
          <w:r>
            <w:t>关键成效</w:t>
          </w:r>
          <w:r>
            <w:tab/>
          </w:r>
          <w:r>
            <w:fldChar w:fldCharType="begin"/>
          </w:r>
          <w:r>
            <w:instrText xml:space="preserve"> PAGEREF _Toc6721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E9F53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1.3.2. </w:t>
          </w:r>
          <w:r>
            <w:t>成果描述</w:t>
          </w:r>
          <w:r>
            <w:tab/>
          </w:r>
          <w:r>
            <w:fldChar w:fldCharType="begin"/>
          </w:r>
          <w:r>
            <w:instrText xml:space="preserve"> PAGEREF _Toc30768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04809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1.3.3. </w:t>
          </w:r>
          <w:r>
            <w:t>研发团队</w:t>
          </w:r>
          <w:r>
            <w:tab/>
          </w:r>
          <w:r>
            <w:fldChar w:fldCharType="begin"/>
          </w:r>
          <w:r>
            <w:instrText xml:space="preserve"> PAGEREF _Toc11903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AB413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1.3.4. </w:t>
          </w:r>
          <w:r>
            <w:t>研发环境</w:t>
          </w:r>
          <w:r>
            <w:tab/>
          </w:r>
          <w:r>
            <w:fldChar w:fldCharType="begin"/>
          </w:r>
          <w:r>
            <w:instrText xml:space="preserve"> PAGEREF _Toc20969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F77D6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1.3.5. </w:t>
          </w:r>
          <w:r>
            <w:t>运维服务手册研发成果</w:t>
          </w:r>
          <w:r>
            <w:tab/>
          </w:r>
          <w:r>
            <w:fldChar w:fldCharType="begin"/>
          </w:r>
          <w:r>
            <w:instrText xml:space="preserve"> PAGEREF _Toc12441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0DC01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1.3.6. </w:t>
          </w:r>
          <w:r>
            <w:t>研发经费</w:t>
          </w:r>
          <w:r>
            <w:tab/>
          </w:r>
          <w:r>
            <w:fldChar w:fldCharType="begin"/>
          </w:r>
          <w:r>
            <w:instrText xml:space="preserve"> PAGEREF _Toc9714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B03AD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1.3.7. </w:t>
          </w:r>
          <w:r>
            <w:t>新技术研发</w:t>
          </w:r>
          <w:r>
            <w:tab/>
          </w:r>
          <w:r>
            <w:fldChar w:fldCharType="begin"/>
          </w:r>
          <w:r>
            <w:instrText xml:space="preserve"> PAGEREF _Toc3358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DE51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过程管理报告</w:t>
          </w:r>
          <w:r>
            <w:tab/>
          </w:r>
          <w:r>
            <w:fldChar w:fldCharType="begin"/>
          </w:r>
          <w:r>
            <w:instrText xml:space="preserve"> PAGEREF _Toc20387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F9793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过程框架管理报告</w:t>
          </w:r>
          <w:r>
            <w:tab/>
          </w:r>
          <w:r>
            <w:fldChar w:fldCharType="begin"/>
          </w:r>
          <w:r>
            <w:instrText xml:space="preserve"> PAGEREF _Toc30442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36B02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服务级别管理报告</w:t>
          </w:r>
          <w:r>
            <w:tab/>
          </w:r>
          <w:r>
            <w:fldChar w:fldCharType="begin"/>
          </w:r>
          <w:r>
            <w:instrText xml:space="preserve"> PAGEREF _Toc28614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89C4E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服务报告管理计划</w:t>
          </w:r>
          <w:r>
            <w:tab/>
          </w:r>
          <w:r>
            <w:fldChar w:fldCharType="begin"/>
          </w:r>
          <w:r>
            <w:instrText xml:space="preserve"> PAGEREF _Toc18318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53D39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事件管理报告</w:t>
          </w:r>
          <w:r>
            <w:tab/>
          </w:r>
          <w:r>
            <w:fldChar w:fldCharType="begin"/>
          </w:r>
          <w:r>
            <w:instrText xml:space="preserve"> PAGEREF _Toc3532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4B8EF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1.4.5. </w:t>
          </w:r>
          <w:r>
            <w:rPr>
              <w:rFonts w:hint="eastAsia"/>
              <w:lang w:val="en-US" w:eastAsia="zh-CN"/>
            </w:rPr>
            <w:t>问题管理报告</w:t>
          </w:r>
          <w:r>
            <w:tab/>
          </w:r>
          <w:r>
            <w:fldChar w:fldCharType="begin"/>
          </w:r>
          <w:r>
            <w:instrText xml:space="preserve"> PAGEREF _Toc21564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EFA93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1.4.6. </w:t>
          </w:r>
          <w:r>
            <w:rPr>
              <w:rFonts w:hint="eastAsia"/>
              <w:lang w:val="en-US" w:eastAsia="zh-CN"/>
            </w:rPr>
            <w:t>变更管理报告</w:t>
          </w:r>
          <w:r>
            <w:tab/>
          </w:r>
          <w:r>
            <w:fldChar w:fldCharType="begin"/>
          </w:r>
          <w:r>
            <w:instrText xml:space="preserve"> PAGEREF _Toc28579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0F442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1.4.7. </w:t>
          </w:r>
          <w:r>
            <w:rPr>
              <w:rFonts w:hint="eastAsia"/>
              <w:lang w:val="en-US" w:eastAsia="zh-CN"/>
            </w:rPr>
            <w:t>发布管理报告</w:t>
          </w:r>
          <w:r>
            <w:tab/>
          </w:r>
          <w:r>
            <w:fldChar w:fldCharType="begin"/>
          </w:r>
          <w:r>
            <w:instrText xml:space="preserve"> PAGEREF _Toc25277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49327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1.4.8. </w:t>
          </w:r>
          <w:r>
            <w:rPr>
              <w:rFonts w:hint="eastAsia"/>
              <w:lang w:val="en-US" w:eastAsia="zh-CN"/>
            </w:rPr>
            <w:t>配置管理报告</w:t>
          </w:r>
          <w:r>
            <w:tab/>
          </w:r>
          <w:r>
            <w:fldChar w:fldCharType="begin"/>
          </w:r>
          <w:r>
            <w:instrText xml:space="preserve"> PAGEREF _Toc17712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C7F12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</w:rPr>
            <w:t xml:space="preserve">1.4.9. </w:t>
          </w:r>
          <w:r>
            <w:rPr>
              <w:rFonts w:hint="eastAsia"/>
              <w:lang w:val="en-US" w:eastAsia="zh-CN"/>
            </w:rPr>
            <w:t>服务可用性和连续性管理报告</w:t>
          </w:r>
          <w:r>
            <w:tab/>
          </w:r>
          <w:r>
            <w:fldChar w:fldCharType="begin"/>
          </w:r>
          <w:r>
            <w:instrText xml:space="preserve"> PAGEREF _Toc1921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0ED1F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1.4.10. </w:t>
          </w:r>
          <w:r>
            <w:rPr>
              <w:rFonts w:hint="eastAsia"/>
              <w:lang w:val="en-US" w:eastAsia="zh-CN"/>
            </w:rPr>
            <w:t>容量管理报告</w:t>
          </w:r>
          <w:r>
            <w:tab/>
          </w:r>
          <w:r>
            <w:fldChar w:fldCharType="begin"/>
          </w:r>
          <w:r>
            <w:instrText xml:space="preserve"> PAGEREF _Toc27843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9F96C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1.4.11. </w:t>
          </w:r>
          <w:r>
            <w:rPr>
              <w:rFonts w:hint="eastAsia"/>
              <w:lang w:val="en-US" w:eastAsia="zh-CN"/>
            </w:rPr>
            <w:t>信息安全管理报告</w:t>
          </w:r>
          <w:r>
            <w:tab/>
          </w:r>
          <w:r>
            <w:fldChar w:fldCharType="begin"/>
          </w:r>
          <w:r>
            <w:instrText xml:space="preserve"> PAGEREF _Toc15562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CD38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交付管理报告</w:t>
          </w:r>
          <w:r>
            <w:tab/>
          </w:r>
          <w:r>
            <w:fldChar w:fldCharType="begin"/>
          </w:r>
          <w:r>
            <w:instrText xml:space="preserve"> PAGEREF _Toc32765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945C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应急管理报告</w:t>
          </w:r>
          <w:r>
            <w:tab/>
          </w:r>
          <w:r>
            <w:fldChar w:fldCharType="begin"/>
          </w:r>
          <w:r>
            <w:instrText xml:space="preserve"> PAGEREF _Toc17529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2E662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质量管理报告</w:t>
          </w:r>
          <w:r>
            <w:tab/>
          </w:r>
          <w:r>
            <w:fldChar w:fldCharType="begin"/>
          </w:r>
          <w:r>
            <w:instrText xml:space="preserve"> PAGEREF _Toc5370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3ED10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1.7.1. </w:t>
          </w:r>
          <w:r>
            <w:rPr>
              <w:rFonts w:hint="eastAsia"/>
              <w:lang w:val="en-US" w:eastAsia="zh-CN"/>
            </w:rPr>
            <w:t>内审</w:t>
          </w:r>
          <w:r>
            <w:tab/>
          </w:r>
          <w:r>
            <w:fldChar w:fldCharType="begin"/>
          </w:r>
          <w:r>
            <w:instrText xml:space="preserve"> PAGEREF _Toc12557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E3DED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1.7.2. </w:t>
          </w:r>
          <w:r>
            <w:rPr>
              <w:rFonts w:hint="eastAsia"/>
              <w:lang w:val="en-US" w:eastAsia="zh-CN"/>
            </w:rPr>
            <w:t>管评</w:t>
          </w:r>
          <w:r>
            <w:tab/>
          </w:r>
          <w:r>
            <w:fldChar w:fldCharType="begin"/>
          </w:r>
          <w:r>
            <w:instrText xml:space="preserve"> PAGEREF _Toc15808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8993B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1.7.3. </w:t>
          </w:r>
          <w:r>
            <w:rPr>
              <w:rFonts w:hint="eastAsia"/>
              <w:lang w:val="en-US" w:eastAsia="zh-CN"/>
            </w:rPr>
            <w:t>客户满意度</w:t>
          </w:r>
          <w:r>
            <w:tab/>
          </w:r>
          <w:r>
            <w:fldChar w:fldCharType="begin"/>
          </w:r>
          <w:r>
            <w:instrText xml:space="preserve"> PAGEREF _Toc6099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7A582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1.7.4.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_Toc24647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FEF2C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1.8. </w:t>
          </w:r>
          <w:r>
            <w:tab/>
          </w:r>
          <w:r>
            <w:fldChar w:fldCharType="begin"/>
          </w:r>
          <w:r>
            <w:instrText xml:space="preserve"> PAGEREF _Toc15703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7E5C4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F8ADBC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051F40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2035"/>
      <w:r>
        <w:rPr>
          <w:rFonts w:hint="eastAsia"/>
          <w:lang w:val="en-US" w:eastAsia="zh-CN"/>
        </w:rPr>
        <w:t>运维服务能力管理报告</w:t>
      </w:r>
      <w:bookmarkEnd w:id="2"/>
    </w:p>
    <w:p w14:paraId="4FDFCB4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718"/>
      <w:r>
        <w:rPr>
          <w:rFonts w:hint="eastAsia"/>
          <w:lang w:val="en-US" w:eastAsia="zh-CN"/>
        </w:rPr>
        <w:t>人员管理报告</w:t>
      </w:r>
      <w:bookmarkEnd w:id="3"/>
    </w:p>
    <w:p w14:paraId="7D61B16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8197"/>
      <w:bookmarkStart w:id="5" w:name="_Toc474"/>
      <w:r>
        <w:rPr>
          <w:rFonts w:hint="eastAsia"/>
          <w:lang w:val="en-US" w:eastAsia="zh-CN"/>
        </w:rPr>
        <w:t>人员招聘管理</w:t>
      </w:r>
      <w:bookmarkEnd w:id="4"/>
      <w:r>
        <w:rPr>
          <w:rFonts w:hint="eastAsia"/>
          <w:lang w:val="en-US" w:eastAsia="zh-CN"/>
        </w:rPr>
        <w:t>报告</w:t>
      </w:r>
      <w:bookmarkEnd w:id="5"/>
    </w:p>
    <w:p w14:paraId="48250B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根据公司实际业务发展需要进行招聘。</w:t>
      </w:r>
    </w:p>
    <w:p w14:paraId="0F8678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招聘计划，如表1-1所示</w:t>
      </w:r>
    </w:p>
    <w:p w14:paraId="511BDA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招聘计划完成情况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444"/>
        <w:gridCol w:w="1204"/>
        <w:gridCol w:w="1204"/>
        <w:gridCol w:w="1685"/>
        <w:gridCol w:w="1205"/>
      </w:tblGrid>
      <w:tr w14:paraId="49EEE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CC16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4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E1D2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招聘岗位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0A65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4F9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招聘人数</w:t>
            </w:r>
          </w:p>
        </w:tc>
        <w:tc>
          <w:tcPr>
            <w:tcW w:w="16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43B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47B7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15858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9766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2026年第一季度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120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2826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5F92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2760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3CC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0E883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317E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2026年第二季度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2F343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5FF4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6168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DC00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0C0DC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未启动</w:t>
            </w:r>
          </w:p>
        </w:tc>
      </w:tr>
      <w:tr w14:paraId="20D3E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DA94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2026年第三季度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60F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4E3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28055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B82EA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F3E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未启动</w:t>
            </w:r>
          </w:p>
        </w:tc>
      </w:tr>
      <w:tr w14:paraId="4676F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8FF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2026年第四季度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3A5D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11AE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952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2AA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F75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</w:tbl>
    <w:p w14:paraId="1726725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5581"/>
      <w:bookmarkStart w:id="7" w:name="_Toc22578"/>
      <w:r>
        <w:rPr>
          <w:rFonts w:hint="eastAsia"/>
          <w:lang w:val="en-US" w:eastAsia="zh-CN"/>
        </w:rPr>
        <w:t>人员储备管理</w:t>
      </w:r>
      <w:bookmarkEnd w:id="6"/>
      <w:r>
        <w:rPr>
          <w:rFonts w:hint="eastAsia"/>
          <w:lang w:val="en-US" w:eastAsia="zh-CN"/>
        </w:rPr>
        <w:t>报告</w:t>
      </w:r>
      <w:bookmarkEnd w:id="7"/>
    </w:p>
    <w:p w14:paraId="660E81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截至2026年5月31日，公司人员储备工作正在有序进行中。运维部部长、研发部部长、质量部部长三个储备岗位的培养计划均已按计划启动，各项培养措施（导师制、轮岗实践、授权历练、专项任务等）正常推进，储备人选学习状态良好，为后续关键岗位的人才接续奠定了坚实基础。人员储备完成情况如表2-2所示。</w:t>
      </w:r>
    </w:p>
    <w:p w14:paraId="3FD61ADD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表2-2 人员储备完成情况（截至2026年5月）</w:t>
      </w:r>
    </w:p>
    <w:tbl>
      <w:tblPr>
        <w:tblStyle w:val="20"/>
        <w:tblW w:w="93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2"/>
        <w:gridCol w:w="1220"/>
        <w:gridCol w:w="933"/>
        <w:gridCol w:w="3020"/>
        <w:gridCol w:w="1585"/>
        <w:gridCol w:w="1103"/>
      </w:tblGrid>
      <w:tr w14:paraId="77BD2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8166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储备目标岗位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8BCA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储备人次</w:t>
            </w:r>
          </w:p>
        </w:tc>
        <w:tc>
          <w:tcPr>
            <w:tcW w:w="9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FDE07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储备人选来源</w:t>
            </w:r>
          </w:p>
        </w:tc>
        <w:tc>
          <w:tcPr>
            <w:tcW w:w="30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8405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核心培养措施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7653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9135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383AC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52C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运维部部长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240F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E5BF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现任运维项目部长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45C87D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导师制：由研发部部长进行技术管理辅导</w:t>
            </w:r>
          </w:p>
          <w:p w14:paraId="694609E7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轮岗实践：短期轮岗至研发部</w:t>
            </w:r>
          </w:p>
          <w:p w14:paraId="751D8F8E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授权历练：独立负责部门年度规划、预算编制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9FF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2026年9月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72F81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进行中</w:t>
            </w:r>
          </w:p>
        </w:tc>
      </w:tr>
      <w:tr w14:paraId="3F3FD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F497D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研发部部长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BF6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93A4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现任开发工程师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FF55C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技术管理：负责技术选型评审、代码规范制定</w:t>
            </w:r>
          </w:p>
          <w:p w14:paraId="7D8EA1F8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带队任务：带领小组完成AIOps模块开发</w:t>
            </w:r>
          </w:p>
          <w:p w14:paraId="51C99C24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业务接触：参与客户需求调研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B81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2026年10月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0A3C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进行中</w:t>
            </w:r>
          </w:p>
        </w:tc>
      </w:tr>
      <w:tr w14:paraId="78F65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4888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质量部部长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4559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BAC71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现任质量管理专员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17862C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导师制：由质量部部长一对一辅导</w:t>
            </w:r>
          </w:p>
          <w:p w14:paraId="3634414C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专项任务：独立负责内审策划与实施</w:t>
            </w:r>
          </w:p>
          <w:p w14:paraId="54BB6868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培训学习：参加ITSS内审员培训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4C8B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2026年11月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2829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进行中</w:t>
            </w:r>
          </w:p>
        </w:tc>
      </w:tr>
    </w:tbl>
    <w:p w14:paraId="7E59F5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p w14:paraId="0FFDAD0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10776"/>
      <w:bookmarkStart w:id="9" w:name="_Toc13231"/>
      <w:r>
        <w:rPr>
          <w:rFonts w:hint="eastAsia"/>
          <w:lang w:val="en-US" w:eastAsia="zh-CN"/>
        </w:rPr>
        <w:t>人员绩效考核管理</w:t>
      </w:r>
      <w:bookmarkEnd w:id="8"/>
      <w:r>
        <w:rPr>
          <w:rFonts w:hint="eastAsia"/>
          <w:lang w:val="en-US" w:eastAsia="zh-CN"/>
        </w:rPr>
        <w:t>报告</w:t>
      </w:r>
      <w:bookmarkEnd w:id="9"/>
    </w:p>
    <w:p w14:paraId="3251DC7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10" w:name="_Toc5164"/>
      <w:r>
        <w:t>公司人力部严格按照《人员绩效考核管理制度》开展工作，按月对公司各岗位人员进行了考核。截至2026年5月31日，1-5月绩效考核合格率均为100%。</w:t>
      </w:r>
      <w:r>
        <w:rPr>
          <w:rFonts w:hint="eastAsia"/>
          <w:lang w:val="en-US" w:eastAsia="zh-CN"/>
        </w:rPr>
      </w:r>
    </w:p>
    <w:p w14:paraId="025D7B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达到绩效考核合格率≥95%</w:t>
      </w:r>
      <w:r>
        <w:rPr>
          <w:rFonts w:hint="eastAsia"/>
          <w:lang w:val="en-US" w:eastAsia="zh-CN"/>
        </w:rPr>
        <w:t>的月</w:t>
      </w:r>
      <w:r>
        <w:t>度目标要求。</w:t>
      </w:r>
    </w:p>
    <w:p w14:paraId="4FFEC25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5590"/>
      <w:r>
        <w:rPr>
          <w:rFonts w:hint="eastAsia"/>
          <w:lang w:val="en-US" w:eastAsia="zh-CN"/>
        </w:rPr>
        <w:t>人员能力评价管理</w:t>
      </w:r>
      <w:bookmarkEnd w:id="10"/>
      <w:r>
        <w:rPr>
          <w:rFonts w:hint="eastAsia"/>
          <w:lang w:val="en-US" w:eastAsia="zh-CN"/>
        </w:rPr>
        <w:t>报告</w:t>
      </w:r>
      <w:bookmarkEnd w:id="11"/>
    </w:p>
    <w:p w14:paraId="01867C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31241"/>
      <w:r>
        <w:t>人力部按照人员能力评价管理制度的要求，已组织完成2026年第一季度人员能力评价工作。经整理各岗位的能力评价结果，第一季度人员能力评价合格率为100%，达到人员能力评价合格率≥95%的要求，各岗位能力等级与岗位说明书基本匹配。</w:t>
      </w:r>
      <w:r>
        <w:rPr>
          <w:rFonts w:hint="eastAsia"/>
          <w:lang w:eastAsia="zh-CN"/>
        </w:rPr>
      </w:r>
      <w:r/>
      <w:r>
        <w:rPr>
          <w:rFonts w:hint="eastAsia"/>
          <w:lang w:eastAsia="zh-CN"/>
        </w:rPr>
      </w:r>
      <w:r/>
      <w:r>
        <w:rPr>
          <w:rFonts w:hint="eastAsia"/>
          <w:lang w:val="en-US" w:eastAsia="zh-CN"/>
        </w:rPr>
      </w:r>
      <w:r/>
      <w:r>
        <w:rPr>
          <w:rFonts w:hint="eastAsia"/>
          <w:lang w:eastAsia="zh-CN"/>
        </w:rPr>
      </w:r>
      <w:r/>
      <w:r>
        <w:rPr>
          <w:rFonts w:hint="eastAsia"/>
          <w:lang w:val="en-US" w:eastAsia="zh-CN"/>
        </w:rPr>
      </w:r>
      <w:r/>
      <w:r>
        <w:rPr>
          <w:rFonts w:hint="eastAsia"/>
          <w:lang w:val="en-US" w:eastAsia="zh-CN"/>
        </w:rPr>
      </w:r>
      <w:r/>
    </w:p>
    <w:p w14:paraId="6F3391D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8443"/>
      <w:r>
        <w:rPr>
          <w:rFonts w:hint="eastAsia"/>
          <w:lang w:val="en-US" w:eastAsia="zh-CN"/>
        </w:rPr>
        <w:t>人员培训管理</w:t>
      </w:r>
      <w:bookmarkEnd w:id="12"/>
      <w:r>
        <w:rPr>
          <w:rFonts w:hint="eastAsia"/>
          <w:lang w:val="en-US" w:eastAsia="zh-CN"/>
        </w:rPr>
        <w:t>报告</w:t>
      </w:r>
      <w:bookmarkEnd w:id="13"/>
    </w:p>
    <w:p w14:paraId="00B418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32275"/>
      <w:r>
        <w:t>截至2026年5月31日，第一季度培训计划已全部按时完成，培训计划完成率100%。人员培训完成情况如表2-3所示。</w:t>
      </w:r>
    </w:p>
    <w:p w14:paraId="0CDA2FB5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表2-3 培训计划完成情况（截至2026年5月）</w:t>
      </w:r>
    </w:p>
    <w:tbl>
      <w:tblPr>
        <w:tblStyle w:val="20"/>
        <w:tblW w:w="5643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3378"/>
        <w:gridCol w:w="1713"/>
        <w:gridCol w:w="1425"/>
        <w:gridCol w:w="756"/>
        <w:gridCol w:w="1348"/>
      </w:tblGrid>
      <w:tr w14:paraId="1748F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14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B8678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757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C12D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培训主题</w:t>
            </w:r>
          </w:p>
        </w:tc>
        <w:tc>
          <w:tcPr>
            <w:tcW w:w="891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4E29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主要部门</w:t>
            </w:r>
          </w:p>
        </w:tc>
        <w:tc>
          <w:tcPr>
            <w:tcW w:w="741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479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培训时间</w:t>
            </w:r>
          </w:p>
        </w:tc>
        <w:tc>
          <w:tcPr>
            <w:tcW w:w="393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DF77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培训方式</w:t>
            </w:r>
          </w:p>
        </w:tc>
        <w:tc>
          <w:tcPr>
            <w:tcW w:w="701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AB1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667C9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16D7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第一季度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09D0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ITSS标准深化培训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7CD2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运维部、质量部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42A2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09A9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F62E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EF19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40D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BD1C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新员工入职培训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E70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新入职员工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B1D7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EA24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9C3D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46B3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650E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641B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禅道过程管理工具基础使用培训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C2C3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189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A2DCA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7216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1864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1DE0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30F7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配置管理专项培训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AFAC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7615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5BB8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8D27D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15990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77E0E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639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信息安全意识培训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9403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625E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C5395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C4072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42F1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45C02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FDC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客户沟通与投诉处理技巧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22A9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服务台、运维部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1A741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B4B4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角色扮演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98AEA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5124D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E095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5163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DASUSM平台运维审计与安全管控培训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396C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927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92335D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C010A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5C6A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3FFC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E519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质量数据分析方法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8DE4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质量部、运维部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310A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D9732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02C5C7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02AD2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32F3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45A8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应急响应实战演练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2D1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10FB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112C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D5019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79BC6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18C6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0F35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AIOps技术培训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EBF2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研发部、运维部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F88F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A88B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线上培训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E882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1A714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92E6E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7B4F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阿里云飞天企业版监控工具深度应用培训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EA08B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AAD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AAAA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7607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F3D4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8FC13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第四季度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795D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团队管理与领导能力提升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705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部门部长、储备人员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3A73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478A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ACD58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F5DD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0690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80D0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运维自动化技术分享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949DD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运维部、研发部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9211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E514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内部分享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9F22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40798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090C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DC3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年度培训总结与知识沉淀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01C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A42B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A15E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总结会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4D79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5162637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1856"/>
      <w:r>
        <w:rPr>
          <w:rFonts w:hint="eastAsia"/>
          <w:lang w:val="en-US" w:eastAsia="zh-CN"/>
        </w:rPr>
        <w:t>人员备份管理</w:t>
      </w:r>
      <w:bookmarkEnd w:id="14"/>
      <w:r>
        <w:rPr>
          <w:rFonts w:hint="eastAsia"/>
          <w:lang w:val="en-US" w:eastAsia="zh-CN"/>
        </w:rPr>
        <w:t>报告</w:t>
      </w:r>
      <w:bookmarkEnd w:id="15"/>
    </w:p>
    <w:p w14:paraId="52D0F6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截至2026年5月31日，公司已在运维部部长、研发部部长、质量部部长、采购专员等关键岗位全面推行AB岗备份机制。第一季度已组织完成一次备份人员交叉培训，确保备份人员掌握所备份岗位的核心工作流程。</w:t>
      </w:r>
    </w:p>
    <w:p w14:paraId="4A31B58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32335"/>
      <w:r>
        <w:rPr>
          <w:rFonts w:hint="eastAsia"/>
          <w:lang w:val="en-US" w:eastAsia="zh-CN"/>
        </w:rPr>
        <w:t>资源管理报告</w:t>
      </w:r>
      <w:bookmarkEnd w:id="16"/>
    </w:p>
    <w:p w14:paraId="4113B32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23336"/>
      <w:r>
        <w:rPr>
          <w:rFonts w:hint="eastAsia"/>
          <w:lang w:val="en-US" w:eastAsia="zh-CN"/>
        </w:rPr>
        <w:t>运维工具管理报告</w:t>
      </w:r>
      <w:bookmarkEnd w:id="17"/>
    </w:p>
    <w:p w14:paraId="7B9267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运维工具自评估工作按计划将于2026年12月开展，本阶段暂未进行。备份恢复自动化、监控阈值优化等新功能开发按计划推进中，预计下半年完成集成和评估。</w:t>
      </w:r>
    </w:p>
    <w:p w14:paraId="06E309C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32684"/>
      <w:r>
        <w:rPr>
          <w:rFonts w:hint="eastAsia"/>
          <w:lang w:val="en-US" w:eastAsia="zh-CN"/>
        </w:rPr>
        <w:t>服务台管理报告</w:t>
      </w:r>
      <w:bookmarkEnd w:id="18"/>
    </w:p>
    <w:p w14:paraId="299A40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2026年1-5月，服务台一线问题解决率各月均为100%，达到月度≥90%的考核目标。应急通讯保障已按计划完善，24小时值班联系方式已更新到位。</w:t>
      </w:r>
    </w:p>
    <w:p w14:paraId="77FC4FA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31140"/>
      <w:r>
        <w:rPr>
          <w:rFonts w:hint="eastAsia"/>
          <w:lang w:val="en-US" w:eastAsia="zh-CN"/>
        </w:rPr>
        <w:t>备件库管理报告</w:t>
      </w:r>
      <w:bookmarkEnd w:id="19"/>
    </w:p>
    <w:p w14:paraId="3F2C1E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2026年第一季度关键备件可用率达到98%，满足季度≥95%的考核目标。采购部持续加强库存管理与供应保障，确保备件及时可用。</w:t>
      </w:r>
    </w:p>
    <w:p w14:paraId="1A43E3A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19230"/>
      <w:r>
        <w:rPr>
          <w:rFonts w:hint="eastAsia"/>
          <w:lang w:val="en-US" w:eastAsia="zh-CN"/>
        </w:rPr>
        <w:t>服务知识管理报告</w:t>
      </w:r>
      <w:bookmarkEnd w:id="20"/>
    </w:p>
    <w:p w14:paraId="3276C6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1-5月，服务知识管理体系运行平稳，各项指标持续向好。服务知识利用率分别为：1月55%，2月58%，3月60%，4月65%，持续超出月度≥50%的考核目标，呈现稳步上升态势。第一季度共审核并录入高质量知识条目35条，达到季度≥30条的要求。新录入内容涵盖备份恢复操作指南、监控阈值优化方案等，进一步丰富了服务知识的覆盖范围。</w:t>
      </w:r>
    </w:p>
    <w:p w14:paraId="141E9D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服务知识内容的不断积累与更新，运维团队在日常工作中对服务知识的依赖程度逐步提升。标准化的知识条目为故障排查、问题解决和日常运维提供了有效的参考依据，有助于减少重复性问题的处理时间，降低对特定人员经验的依赖。同时，服务知识的建设也为新员工的技术培训和能力提升提供了基础支撑，促进了运维经验的沉淀与传承。</w:t>
      </w:r>
    </w:p>
    <w:p w14:paraId="04BAC9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管理工作由服务台牵头负责，运维部、研发部协同参与。各部门按计划定期提交和更新知识内容，质量部按周期统计指标达成情况，评估结果纳入服务台团队绩效考核。整体来看，服务知识管理机制运行有效，初步形成了知识积累、共享和应用的良性循环。后续将持续优化服务知识结构和内容质量，进一步提升知识的实用性和可检索性，更好地支撑运维服务的高效开展。</w:t>
      </w:r>
    </w:p>
    <w:p w14:paraId="27A7A68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30395"/>
      <w:r>
        <w:rPr>
          <w:rFonts w:hint="eastAsia"/>
          <w:lang w:val="en-US" w:eastAsia="zh-CN"/>
        </w:rPr>
        <w:t>最终软件库管理报告</w:t>
      </w:r>
      <w:bookmarkEnd w:id="21"/>
    </w:p>
    <w:p w14:paraId="2E8B6C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最终软件库管理按计划将于2026年12月进行年度统计，本阶段暂未开展。</w:t>
      </w:r>
    </w:p>
    <w:p w14:paraId="57606C5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14645"/>
      <w:r>
        <w:rPr>
          <w:rFonts w:hint="eastAsia"/>
          <w:lang w:val="en-US" w:eastAsia="zh-CN"/>
        </w:rPr>
        <w:t>服务数据管理报告</w:t>
      </w:r>
      <w:bookmarkEnd w:id="22"/>
    </w:p>
    <w:p w14:paraId="4CA97D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2026年第一季度，公司持续开展运维服务数据的质量管理工作。通过自动化校验与人工抽样相结合的方式，对运维服务过程中产生的核心数据进行了质量检查。本季度共抽样检查服务数据记录</w:t>
      </w:r>
      <w:r>
        <w:rPr>
          <w:rFonts w:hint="eastAsia"/>
          <w:lang w:val="en-US" w:eastAsia="zh-CN"/>
        </w:rPr>
        <w:t>1200</w:t>
      </w:r>
      <w:r>
        <w:rPr>
          <w:rFonts w:hint="default"/>
          <w:lang w:val="en-US" w:eastAsia="zh-CN"/>
        </w:rPr>
        <w:t>条，经核查，数据准确率达到100%，显著优于98%的年度考核目标。</w:t>
      </w:r>
    </w:p>
    <w:p w14:paraId="3BB2CF5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服务数据的准确性和可靠性，公司在数据录入环节加强了规范性要求，明确了各岗位的数据录入标准和时间节点。同时，通过禅道过程管理工具内置的校验规则，从源头上减少了数据录入错误的发生。运维部作为数据录入的责任部门，定期开展数据质量自查；质量部按季度组织抽查审计，形成闭环管理机制。</w:t>
      </w:r>
    </w:p>
    <w:p w14:paraId="627A3D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质量的服务数据为运维服务的过程追溯、绩效评估和持续改进提供了可靠的基础。基于准确的服务数据，公司能够客观评估SLA达成情况、事件处理效率等关键指标，及时发现服务流程中的薄弱环节，为管理决策和资源配置提供有效支撑。当前，服务数据管理机制运行平稳，初步实现了数据驱动的服务质量管理目标。后续将持续优化数据校验规则，提升数据采集的自动化水平，进一步巩固数据质量基础。</w:t>
      </w:r>
    </w:p>
    <w:p w14:paraId="7044CB0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3" w:name="_Toc29063"/>
      <w:r>
        <w:rPr>
          <w:rFonts w:hint="eastAsia"/>
          <w:lang w:val="en-US" w:eastAsia="zh-CN"/>
        </w:rPr>
        <w:t>技术管理报告</w:t>
      </w:r>
      <w:bookmarkEnd w:id="23"/>
    </w:p>
    <w:p w14:paraId="68935D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2026年1-5月，重点推进备份恢复自动化功能开发与监控阈值优化方案制定。</w:t>
      </w:r>
    </w:p>
    <w:p w14:paraId="211C9C8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20099"/>
      <w:bookmarkStart w:id="25" w:name="heading_5"/>
      <w:bookmarkStart w:id="26" w:name="_Toc6721"/>
      <w:r>
        <w:t>关键成效</w:t>
      </w:r>
      <w:bookmarkEnd w:id="24"/>
      <w:bookmarkEnd w:id="25"/>
      <w:bookmarkEnd w:id="26"/>
    </w:p>
    <w:p w14:paraId="61786ECF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备份恢复方案设计完成：完成一键化备份恢复方案设计，解决了2025年应急演练中暴露的手工命令依赖问题。</w:t>
      </w:r>
    </w:p>
    <w:p w14:paraId="7F254456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备份脚本原型开发完成：已完成MySQL数据库备份脚本原型开发，支持备份完整性自动校验，为后续一键化恢复奠定基础。</w:t>
      </w:r>
    </w:p>
    <w:p w14:paraId="3CBE64E1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监控阈值优化方案制定：完成2025年监控数据分析，评估现有阈值合理性，提出具体优化方案，预期告警准确率提升20%以上。</w:t>
      </w:r>
    </w:p>
    <w:p w14:paraId="037B78E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8947"/>
      <w:bookmarkStart w:id="28" w:name="heading_6"/>
      <w:bookmarkStart w:id="29" w:name="_Toc30768"/>
      <w:r>
        <w:t>成果描述</w:t>
      </w:r>
      <w:bookmarkEnd w:id="27"/>
      <w:bookmarkEnd w:id="28"/>
      <w:bookmarkEnd w:id="29"/>
    </w:p>
    <w:p w14:paraId="3A52CF96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_Toc1913"/>
      <w:bookmarkStart w:id="31" w:name="heading_7"/>
      <w:r>
        <w:t>备份恢复自动化</w:t>
      </w:r>
      <w:bookmarkEnd w:id="30"/>
      <w:bookmarkEnd w:id="31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8"/>
        <w:gridCol w:w="1732"/>
        <w:gridCol w:w="4272"/>
        <w:gridCol w:w="1370"/>
      </w:tblGrid>
      <w:tr w14:paraId="6A2BE5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14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7CB0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7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867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2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A1BE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3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9D5E2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2960D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477E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83BF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5C72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收集备份恢复需求，梳理现有脚本问题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13ED8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8C88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1A68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75F1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F8AE3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设计一键化备份恢复方案，制定技术架构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F3C2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DF8C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49DC9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BB2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2026年4-5月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9866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开发备份恢复自动化脚本，集成至禅道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5F0BF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进行中</w:t>
            </w:r>
          </w:p>
        </w:tc>
      </w:tr>
      <w:tr w14:paraId="09CA2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166CB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32EE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FFB7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单元测试、集成测试、恢复演练验证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7E50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18FA8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2825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上线运行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9DD63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80A0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正式部署，纳入日常运维流程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C931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49653E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已完成备份恢复自动化功能的需求分析与方案设计。开发工作于2026年5月启动，目前已完成备份脚本原型开发，支持数据库自动备份与完整性校验。恢复脚本正在开发中。</w:t>
      </w:r>
    </w:p>
    <w:p w14:paraId="71BDBB1A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8"/>
      <w:bookmarkStart w:id="33" w:name="_Toc11163"/>
      <w:r>
        <w:t>监控阈值智能优化</w:t>
      </w:r>
      <w:bookmarkEnd w:id="32"/>
      <w:bookmarkEnd w:id="33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1643"/>
        <w:gridCol w:w="4164"/>
        <w:gridCol w:w="1478"/>
      </w:tblGrid>
      <w:tr w14:paraId="1CA87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350CD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6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6DB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16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2C1F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4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CDF6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16543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1327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数据分析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06F3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67C0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收集2025年监控数据，分析性能基线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67664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1DF7E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98A9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阈值评估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2CCB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2BC9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评估现有阈值合理性，提出优化方案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F751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5118D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D30B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方案实施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A5015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7D4B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调整监控平台告警阈值配置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C0368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6C18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7829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效果验证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B288F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44B0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验证新阈值下告警准确率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1A11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557375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已完成2025年监控数据的收集与性能基线分析，评估了现有阈值的合理性，提出了具体优化方案。待下阶段在监控平台中实施调整并验证效果。</w:t>
      </w:r>
    </w:p>
    <w:p w14:paraId="152C909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_Toc9352"/>
      <w:bookmarkStart w:id="35" w:name="heading_9"/>
      <w:bookmarkStart w:id="36" w:name="_Toc11903"/>
      <w:r>
        <w:t>研发团队</w:t>
      </w:r>
      <w:bookmarkEnd w:id="34"/>
      <w:bookmarkEnd w:id="35"/>
      <w:bookmarkEnd w:id="36"/>
    </w:p>
    <w:p w14:paraId="23EA60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公司实际情况，为保质保量完成2026年度运维工具研发工作，根据研发计划配置人员如下：研发部4人（研发部部长1名、开发工程师2名、需求分析师1名），运维部2人（运维工程师2名），质量部部长1名，各岗及时到位，为研发工作的有序开展提供了有力保障。运维工具研发团队人员配置信息如表3-1所示。</w:t>
      </w:r>
    </w:p>
    <w:p w14:paraId="43483378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表3-1 人员配置表</w:t>
      </w:r>
    </w:p>
    <w:p w14:paraId="08013031">
      <w:r>
        <w:br w:type="page"/>
      </w:r>
    </w:p>
    <w:p w14:paraId="3769FAC6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6"/>
        <w:gridCol w:w="1638"/>
        <w:gridCol w:w="4918"/>
      </w:tblGrid>
      <w:tr w14:paraId="7D40F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DF3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6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E563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491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9571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</w:tr>
      <w:tr w14:paraId="0A5F7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5A8D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研发部部长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38D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525A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总体规划研发进度，技术决策</w:t>
            </w:r>
          </w:p>
        </w:tc>
      </w:tr>
      <w:tr w14:paraId="0C053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C6C5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97791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7D817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编码、单元测试、脚本开发</w:t>
            </w:r>
          </w:p>
        </w:tc>
      </w:tr>
      <w:tr w14:paraId="1C129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175BB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757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2FF7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需求收集、试用验证、反馈优化</w:t>
            </w:r>
          </w:p>
        </w:tc>
      </w:tr>
      <w:tr w14:paraId="0C7EE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F33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质量部部长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E79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F552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跟进研发质量，测试验证</w:t>
            </w:r>
          </w:p>
        </w:tc>
      </w:tr>
      <w:tr w14:paraId="63057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BC9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需求分析师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8E95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95D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收集分析需求，编写需求文档</w:t>
            </w:r>
          </w:p>
        </w:tc>
      </w:tr>
    </w:tbl>
    <w:p w14:paraId="363A647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10"/>
      <w:bookmarkStart w:id="38" w:name="_Toc14964"/>
      <w:bookmarkStart w:id="39" w:name="_Toc20969"/>
      <w:r>
        <w:t>研发环境</w:t>
      </w:r>
      <w:bookmarkEnd w:id="37"/>
      <w:bookmarkEnd w:id="38"/>
      <w:bookmarkEnd w:id="39"/>
    </w:p>
    <w:p w14:paraId="15C70A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根据研发计划，按时完成开发环境与测试环境部署。各环境完成情况如表3-2所示。</w:t>
      </w:r>
    </w:p>
    <w:p w14:paraId="01D544B0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表3-2 环境需求到位表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735"/>
        <w:gridCol w:w="2116"/>
        <w:gridCol w:w="1781"/>
        <w:gridCol w:w="2135"/>
      </w:tblGrid>
      <w:tr w14:paraId="68D72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4451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资源名称</w:t>
            </w:r>
          </w:p>
        </w:tc>
        <w:tc>
          <w:tcPr>
            <w:tcW w:w="7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FE1A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21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2D81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详细配置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85DB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获取方式</w:t>
            </w:r>
          </w:p>
        </w:tc>
        <w:tc>
          <w:tcPr>
            <w:tcW w:w="21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A246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334DD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6ECE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E820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4EF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PHP+MySQL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1802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开发服务器部署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871C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28577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8F51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4A5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3520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与生产环境隔离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5FE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云服务器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DC3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5CFE0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0D95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生产环境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50834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3B14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云服务器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88CF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购买云服务器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289EC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08A89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2F6F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版本控制工具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05AF1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50A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Gitlab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D12A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开源，可用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E8E93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42802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4835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AIOps测试环境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1CFC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新增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26F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4核8G，GPU可选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27E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云服务器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6BC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已部署</w:t>
            </w:r>
          </w:p>
        </w:tc>
      </w:tr>
    </w:tbl>
    <w:p w14:paraId="58AB1CC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_Toc6393"/>
      <w:bookmarkStart w:id="41" w:name="heading_12"/>
      <w:bookmarkStart w:id="42" w:name="_Toc12441"/>
      <w:r>
        <w:t>运维服务手册研发成果</w:t>
      </w:r>
      <w:bookmarkEnd w:id="40"/>
      <w:bookmarkEnd w:id="41"/>
      <w:bookmarkEnd w:id="42"/>
    </w:p>
    <w:p w14:paraId="45AEB4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本次规划的手册研发任务已按计划启动。截至2026年5月31日，已完成《MySQL数据库备份与恢复操作手册》的初稿编撰，正在技术评审中。其余手册按计划推进。运维手册完成情况如表4-1所示。</w:t>
      </w:r>
    </w:p>
    <w:p w14:paraId="4B46D026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表4-1 运维手册研发表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3830"/>
        <w:gridCol w:w="1363"/>
        <w:gridCol w:w="2593"/>
      </w:tblGrid>
      <w:tr w14:paraId="1666C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DF2F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38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D9DB3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13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FC7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25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16B84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55D13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BF546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98C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MySQL数据库备份与恢复操作手册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C84D5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D61F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已完成初稿，正在评审</w:t>
            </w:r>
          </w:p>
        </w:tc>
      </w:tr>
      <w:tr w14:paraId="6408E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B979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E5A3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Linux系统巡检与性能调优指南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0E12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A70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需求收集完成，编写中</w:t>
            </w:r>
          </w:p>
        </w:tc>
      </w:tr>
      <w:tr w14:paraId="47E27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28E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2E289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应急响应标准化操作手册（SOP）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CDC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BEEBA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计划中</w:t>
            </w:r>
          </w:p>
        </w:tc>
      </w:tr>
      <w:tr w14:paraId="07553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1673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5AF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常见故障排查手册（硬件篇）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3361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343A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计划中</w:t>
            </w:r>
          </w:p>
        </w:tc>
      </w:tr>
    </w:tbl>
    <w:p w14:paraId="10B4982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_Toc16663"/>
      <w:bookmarkStart w:id="44" w:name="heading_13"/>
      <w:bookmarkStart w:id="45" w:name="_Toc9714"/>
      <w:r>
        <w:t>研发经费</w:t>
      </w:r>
      <w:bookmarkEnd w:id="43"/>
      <w:bookmarkEnd w:id="44"/>
      <w:bookmarkEnd w:id="45"/>
    </w:p>
    <w:p w14:paraId="71BC84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本次2026年度研发预算总额为35.0万元。截至2026年5月31日，已执行10.2万元，预算执行率29.1%。具体使用情况如表5-1所示。</w:t>
      </w:r>
    </w:p>
    <w:p w14:paraId="15DEF05A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表5-1 项目经费使用表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8"/>
        <w:gridCol w:w="2103"/>
        <w:gridCol w:w="1838"/>
        <w:gridCol w:w="3793"/>
      </w:tblGrid>
      <w:tr w14:paraId="68DF0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74D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2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CE087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开支项目</w:t>
            </w:r>
          </w:p>
        </w:tc>
        <w:tc>
          <w:tcPr>
            <w:tcW w:w="18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ACC1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金额（万元）</w:t>
            </w:r>
          </w:p>
        </w:tc>
        <w:tc>
          <w:tcPr>
            <w:tcW w:w="37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44A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D7FE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9F3C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2073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人力资源成本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3D7B7D">
            <w:pPr>
              <w:pStyle w:val="29"/>
              <w:keepNext w:val="0"/>
              <w:keepLines w:val="0"/>
              <w:pageBreakBefore w:val="0"/>
              <w:widowControl w:val="0"/>
              <w:tabs>
                <w:tab w:val="center" w:pos="799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t>8.0</w:t>
            </w:r>
            <w:r>
              <w:rPr>
                <w:rFonts w:hint="eastAsia"/>
                <w:lang w:eastAsia="zh-CN"/>
              </w:rPr>
              <w:tab/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88C9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研发团队薪酬、绩效（1-5月）</w:t>
            </w:r>
          </w:p>
        </w:tc>
      </w:tr>
      <w:tr w14:paraId="7A54C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60FCA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C7B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测试与授权费用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01E30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0.3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8C0A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部分测试工具采购</w:t>
            </w:r>
          </w:p>
        </w:tc>
      </w:tr>
      <w:tr w14:paraId="7DB05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612F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31A5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云服务器费用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D0D9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0.8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54A57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含AIOps环境预付款</w:t>
            </w:r>
          </w:p>
        </w:tc>
      </w:tr>
      <w:tr w14:paraId="4987A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254E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DD8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培训与咨询费用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32B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0.5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6668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技术培训一次</w:t>
            </w:r>
          </w:p>
        </w:tc>
      </w:tr>
      <w:tr w14:paraId="474E1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181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0FEA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手册研发成本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7D0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0.6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504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手册编写与评审</w:t>
            </w:r>
          </w:p>
        </w:tc>
      </w:tr>
      <w:tr w14:paraId="65525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1DF4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1AA3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应急预留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7635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C5135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未使用</w:t>
            </w:r>
          </w:p>
        </w:tc>
      </w:tr>
      <w:tr w14:paraId="45FB6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742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0EB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BC4C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10.2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A4F8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年度预算35.0万元</w:t>
            </w:r>
          </w:p>
        </w:tc>
      </w:tr>
    </w:tbl>
    <w:p w14:paraId="6DBC0EB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_Toc8202"/>
      <w:bookmarkStart w:id="47" w:name="heading_14"/>
      <w:bookmarkStart w:id="48" w:name="_Toc3358"/>
      <w:r>
        <w:t>新技术研发</w:t>
      </w:r>
      <w:bookmarkEnd w:id="46"/>
      <w:bookmarkEnd w:id="47"/>
      <w:bookmarkEnd w:id="48"/>
    </w:p>
    <w:p w14:paraId="0764CEC8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bookmarkStart w:id="49" w:name="_Toc25859"/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IOps智能运维深化</w:t>
      </w:r>
      <w:bookmarkEnd w:id="49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022"/>
        <w:gridCol w:w="3920"/>
        <w:gridCol w:w="1404"/>
      </w:tblGrid>
      <w:tr w14:paraId="5AD54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7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FA5D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20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B8F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9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5D8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4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2D0B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04FC9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1E9D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F1F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2026年2-3月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9749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设计告警收敛算法与故障自愈方案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8315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149D1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AB8C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634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2026年4-7月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09D0A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开发告警收敛引擎，集成至监控平台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B6E4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进行中</w:t>
            </w:r>
          </w:p>
        </w:tc>
      </w:tr>
      <w:tr w14:paraId="7499A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E94ED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F5FE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2026年8-9月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790D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在测试环境验证，修复问题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BD3B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5C83D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7CBF7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试点应用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78B3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2026年10-11月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2B6E0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选取西安国豪项目试点应用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7A4A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4137D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B688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效果评估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0E61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BA5FEC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评估应用效果，优化算法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C02B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5774AC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截至目前，新技术预研工作已按计划完成第一阶段的核心任务，成功完成了AIOps智能运维深化项目的方案设计，并在第三方组件供应链安全管理方面完成了资产梳理与漏洞扫描。</w:t>
      </w:r>
    </w:p>
    <w:p w14:paraId="176F09BC">
      <w:pPr>
        <w:pStyle w:val="29"/>
        <w:bidi w:val="0"/>
      </w:pPr>
      <w:r>
        <w:t>智能告警收敛引擎：完成方案设计，确定了告警收敛算法与故障自愈技术架构。开发工作于4月启动，告警收敛引擎原型正在开发中，计划6月完成初步集成。该引擎将基于2025年已验证的告警关联分析算法，进一步实现告警智能聚合与根源定位。</w:t>
      </w:r>
    </w:p>
    <w:p w14:paraId="667577C9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bookmarkStart w:id="50" w:name="_Toc23769"/>
      <w:r>
        <w:t>第三方组件供应链安全管理</w:t>
      </w:r>
      <w:bookmarkEnd w:id="50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1384"/>
        <w:gridCol w:w="4673"/>
        <w:gridCol w:w="1367"/>
      </w:tblGrid>
      <w:tr w14:paraId="22B32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63D20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040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6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F189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3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A7AB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1054F0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889CA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资产梳理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3092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8BDFB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梳理现有第三方组件清单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B895F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C48B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F8ABB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漏洞扫描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15F5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3946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扫描组件漏洞，形成报告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28F1C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E85F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515FF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流程制定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1C2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5C08A1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制定《第三方组件更新与评估流程》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7C0EB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0479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2C56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漏洞修复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981B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2026年5-6月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CEC3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修复已知漏洞，更新组件版本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489EF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待开始</w:t>
            </w:r>
          </w:p>
        </w:tc>
      </w:tr>
      <w:tr w14:paraId="6D425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D3A5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常态化管理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F6D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2026年7月起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A598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每季度扫描更新，纳入配置管理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6FB5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待开始</w:t>
            </w:r>
          </w:p>
        </w:tc>
      </w:tr>
    </w:tbl>
    <w:p w14:paraId="03334E37">
      <w:pPr>
        <w:pStyle w:val="29"/>
        <w:bidi w:val="0"/>
      </w:pPr>
      <w:r>
        <w:t>完成现有第三方组件清单梳理，扫描发现低危漏洞2个，已形成漏洞报告。同步制定《第三方组件更新与评估流程》草案，为后续常态化管理奠定基础。</w:t>
      </w:r>
    </w:p>
    <w:p w14:paraId="1CD0E9A7">
      <w:pPr>
        <w:pStyle w:val="29"/>
        <w:bidi w:val="0"/>
      </w:pPr>
      <w:r>
        <w:t>AIOps测试环境：计划2026年5月完成部署，将支撑告警收敛引擎的开发测试与试点应用验证。</w:t>
      </w:r>
    </w:p>
    <w:p w14:paraId="57845602">
      <w:pPr>
        <w:pStyle w:val="29"/>
      </w:pPr>
    </w:p>
    <w:p w14:paraId="1035CA9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1" w:name="_Toc20387"/>
      <w:r>
        <w:rPr>
          <w:rFonts w:hint="eastAsia"/>
          <w:lang w:val="en-US" w:eastAsia="zh-CN"/>
        </w:rPr>
        <w:t>过程管理报告</w:t>
      </w:r>
      <w:bookmarkEnd w:id="51"/>
    </w:p>
    <w:p w14:paraId="708FC98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2" w:name="_Toc30442"/>
      <w:r>
        <w:rPr>
          <w:rFonts w:hint="eastAsia"/>
          <w:lang w:val="en-US" w:eastAsia="zh-CN"/>
        </w:rPr>
        <w:t>过程框架管理报告</w:t>
      </w:r>
      <w:bookmarkEnd w:id="52"/>
    </w:p>
    <w:p w14:paraId="060CDC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过程框架自评估按计划将于2026年下半年开展，本阶段暂未进行。运维部将继续按照ITSS标准要求，持续完善过程框架的适宜性和有效性，确保各管理过程与公司业务发展需求相匹配。</w:t>
      </w:r>
    </w:p>
    <w:p w14:paraId="57813B6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3" w:name="_Toc28614"/>
      <w:r>
        <w:rPr>
          <w:rFonts w:hint="eastAsia"/>
          <w:lang w:val="en-US" w:eastAsia="zh-CN"/>
        </w:rPr>
        <w:t>服务级别管理报告</w:t>
      </w:r>
      <w:bookmarkEnd w:id="53"/>
    </w:p>
    <w:p w14:paraId="3530EF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SLA达成率为95%，达到季度≥95%的考核目标。运维部持续监控服务级别协议的执行情况，定期对未达标事件进行分析，并制定相应的改进措施。从指标趋势来看，服务级别管理整体运行平稳，能够有效支撑运维服务的质量保障工作。后续将继续加强SLA指标的动态跟踪与分析，确保服务交付与客户期望保持一致。</w:t>
      </w:r>
    </w:p>
    <w:p w14:paraId="1F35948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4" w:name="_Toc18318"/>
      <w:r>
        <w:rPr>
          <w:rFonts w:hint="eastAsia"/>
          <w:lang w:val="en-US" w:eastAsia="zh-CN"/>
        </w:rPr>
        <w:t>服务报告管理计划</w:t>
      </w:r>
      <w:bookmarkEnd w:id="54"/>
    </w:p>
    <w:p w14:paraId="2D9A3F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服务报告提交及时率达到100%，显著超过95%的考核目标。运维部按照服务报告管理制度的要求，按时编制并提交了各类服务报告，质量部对报告质量进行了审核，整体质量符合要求。服务报告的及时提交为管理层了解服务运行状况、识别改进机会提供了有效的数据支持。</w:t>
      </w:r>
    </w:p>
    <w:p w14:paraId="2E34431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5" w:name="_Toc3532"/>
      <w:r>
        <w:rPr>
          <w:rFonts w:hint="eastAsia"/>
          <w:lang w:val="en-US" w:eastAsia="zh-CN"/>
        </w:rPr>
        <w:t>事件管理报告</w:t>
      </w:r>
      <w:bookmarkEnd w:id="55"/>
    </w:p>
    <w:p w14:paraId="5E9633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2026年1-5月，事件管理各项指标如下：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2825"/>
        <w:gridCol w:w="2825"/>
        <w:gridCol w:w="1898"/>
      </w:tblGrid>
      <w:tr w14:paraId="25AA1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F96CA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F948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事件响应及时率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4D462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事件按时解决率</w:t>
            </w:r>
          </w:p>
        </w:tc>
        <w:tc>
          <w:tcPr>
            <w:tcW w:w="189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3F14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是否达标</w:t>
            </w:r>
          </w:p>
        </w:tc>
      </w:tr>
      <w:tr w14:paraId="36559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A917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C26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1930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90%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6FB5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1F4E46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9F3E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B4D9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CD2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542D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5C4FE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A1AFF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272D9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2B4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257168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  <w:tr w14:paraId="19B12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C4E4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4月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ED45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038F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100%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4A4B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达标</w:t>
            </w:r>
          </w:p>
        </w:tc>
      </w:tr>
    </w:tbl>
    <w:p w14:paraId="51C962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月指标均达到或超过考核目标（响应及时率≥95%、按时解决率≥90%）。1月份按时解决率为90%，刚好达到目标值，经分析主要原因为个别工单处理流程略长，已纳入改进计划。整体来看，事件管理流程运行顺畅，响应及时率保持100%的良好水平。后续将持续优化事件处理流程，加强对一线工程师的技术培训，进一步提升事件解决效率。</w:t>
      </w:r>
    </w:p>
    <w:p w14:paraId="430AC33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6" w:name="_Toc21564"/>
      <w:r>
        <w:rPr>
          <w:rFonts w:hint="eastAsia"/>
          <w:lang w:val="en-US" w:eastAsia="zh-CN"/>
        </w:rPr>
        <w:t>问题管理报告</w:t>
      </w:r>
      <w:bookmarkEnd w:id="56"/>
    </w:p>
    <w:p w14:paraId="73C38A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问题解决率达到100%，满足季度≥95%的考核目标。运维部对识别出的问题进行了根本原因分析，并制定了相应的预防措施，有效避免了同类问题的重复发生。问题管理机制的持续运行，为运维服务质量的稳步提升提供了有力支撑。</w:t>
      </w:r>
    </w:p>
    <w:p w14:paraId="6DA92C9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7" w:name="_Toc28579"/>
      <w:r>
        <w:rPr>
          <w:rFonts w:hint="eastAsia"/>
          <w:lang w:val="en-US" w:eastAsia="zh-CN"/>
        </w:rPr>
        <w:t>变更管理报告</w:t>
      </w:r>
      <w:bookmarkEnd w:id="57"/>
    </w:p>
    <w:p w14:paraId="104DBE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变更成功率达到100%，满足季度≥95%的考核目标。所有变更实施前均经过了充分的评估和审批，变更过程记录完整，未发生因变更导致的业务中断或服务质量下降事件。变更管理流程的有效执行，为系统稳定运行提供了重要保障。</w:t>
      </w:r>
    </w:p>
    <w:p w14:paraId="216F663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8" w:name="_Toc25277"/>
      <w:r>
        <w:rPr>
          <w:rFonts w:hint="eastAsia"/>
          <w:lang w:val="en-US" w:eastAsia="zh-CN"/>
        </w:rPr>
        <w:t>发布管理报告</w:t>
      </w:r>
      <w:bookmarkEnd w:id="58"/>
    </w:p>
    <w:p w14:paraId="307BD6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发布成功率达到100%，满足季度≥95%的考核目标。发布管理流程严格执行，各次发布均按计划完成，发布后验证工作到位，未发现因发布引入的严重缺陷。发布管理的规范化为软件版本的稳定交付奠定了良好基础。</w:t>
      </w:r>
    </w:p>
    <w:p w14:paraId="7816540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9" w:name="_Toc17712"/>
      <w:r>
        <w:rPr>
          <w:rFonts w:hint="eastAsia"/>
          <w:lang w:val="en-US" w:eastAsia="zh-CN"/>
        </w:rPr>
        <w:t>配置管理报告</w:t>
      </w:r>
      <w:bookmarkEnd w:id="59"/>
    </w:p>
    <w:p w14:paraId="3B2E51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配置准确率达到100%，满足季度≥99%的考核目标。相较于2025年第二季度的85%有显著提升，配置变更自动同步机制已初步建立。运维部通过加强配置管理培训、优化配置项维护流程，有效提升了配置数据的准确性和一致性。后续将持续开展配置审计，确保配置管理体系的持续改进。</w:t>
      </w:r>
    </w:p>
    <w:p w14:paraId="775F1C8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bookmarkStart w:id="60" w:name="_Toc1921"/>
      <w:r>
        <w:rPr>
          <w:rFonts w:hint="eastAsia"/>
          <w:lang w:val="en-US" w:eastAsia="zh-CN"/>
        </w:rPr>
        <w:t>服务可用性和连续性管理报告</w:t>
      </w:r>
      <w:bookmarkEnd w:id="60"/>
    </w:p>
    <w:p w14:paraId="6BD2ED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Cs w:val="24"/>
          <w:shd w:val="clear" w:color="auto" w:fill="FFFFFF"/>
          <w:lang w:val="en-US" w:eastAsia="zh-CN"/>
        </w:rPr>
      </w:pPr>
      <w:r>
        <w:t>2026年1-5月，关键服务可用率各月均为100%，满足月度≥99%的考核目标；服务中断事件数量各月均为0次，满足月度≤1次的考核目标。运维部通过加强监控预警和日常巡检，有效保障了关键服务的稳定运行。服务可用性和连续性管理机制的运行，为业务连续性提供了可靠的技术保障。</w:t>
      </w:r>
    </w:p>
    <w:p w14:paraId="4AA80EE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1" w:name="_Toc27843"/>
      <w:r>
        <w:rPr>
          <w:rFonts w:hint="eastAsia"/>
          <w:lang w:val="en-US" w:eastAsia="zh-CN"/>
        </w:rPr>
        <w:t>容量管理报告</w:t>
      </w:r>
      <w:bookmarkEnd w:id="61"/>
    </w:p>
    <w:p w14:paraId="25D232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2026年第一季度，容量事件次数为0次，满足季度≤1次的考核目标。运维部持续开展容量规划与监控工作，定期评估资源使用情况，提前识别容量风险。当前容量管理能够满足业务发展需求，未出现因容量不足导致的服务影响。</w:t>
      </w:r>
    </w:p>
    <w:p w14:paraId="46575E5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2" w:name="_Toc15562"/>
      <w:r>
        <w:rPr>
          <w:rFonts w:hint="eastAsia"/>
          <w:lang w:val="en-US" w:eastAsia="zh-CN"/>
        </w:rPr>
        <w:t>信息安全管理报告</w:t>
      </w:r>
      <w:bookmarkEnd w:id="62"/>
    </w:p>
    <w:p w14:paraId="19ED01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2026年1-5月，未发生客户信息泄露事件，信息安全管理成效显著。运维部持续通过防火墙、入侵检测系统及访问控制策略等多层防护措施，有效保障客户数据安全。质量部按季度开展安全审计，验证信息安全防护体系的有效性。后续将继续加强员工安全意识培训，完善信息安全管理体系。</w:t>
      </w:r>
    </w:p>
    <w:p w14:paraId="569B89B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3" w:name="_Toc32765"/>
      <w:r>
        <w:rPr>
          <w:rFonts w:hint="eastAsia"/>
          <w:lang w:val="en-US" w:eastAsia="zh-CN"/>
        </w:rPr>
        <w:t>交付管理报告</w:t>
      </w:r>
      <w:bookmarkEnd w:id="63"/>
    </w:p>
    <w:p w14:paraId="0A8065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2026年第一季度，交付及时率达到100%，满足季度≥95%的考核目标。</w:t>
      </w:r>
    </w:p>
    <w:p w14:paraId="70ED1DE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4" w:name="_Toc17529"/>
      <w:r>
        <w:rPr>
          <w:rFonts w:hint="eastAsia"/>
          <w:lang w:val="en-US" w:eastAsia="zh-CN"/>
        </w:rPr>
        <w:t>应急管理报告</w:t>
      </w:r>
      <w:bookmarkEnd w:id="64"/>
    </w:p>
    <w:p w14:paraId="277276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应急演练按计划将于2026年下半年开展，本阶段暂未进行。应急通讯录已按计划完善，24小时值班人员联系方式已更新到位。</w:t>
      </w:r>
    </w:p>
    <w:p w14:paraId="34A871A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5" w:name="_Toc5370"/>
      <w:r>
        <w:rPr>
          <w:rFonts w:hint="eastAsia"/>
          <w:lang w:val="en-US" w:eastAsia="zh-CN"/>
        </w:rPr>
        <w:t>质量管理报告</w:t>
      </w:r>
      <w:bookmarkEnd w:id="65"/>
    </w:p>
    <w:p w14:paraId="32B28D8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6" w:name="_Toc12557"/>
      <w:r>
        <w:rPr>
          <w:rFonts w:hint="eastAsia"/>
          <w:lang w:val="en-US" w:eastAsia="zh-CN"/>
        </w:rPr>
        <w:t>内审</w:t>
      </w:r>
      <w:bookmarkEnd w:id="66"/>
    </w:p>
    <w:p w14:paraId="201B7C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内审工作按计划将于2026年12月开展，本阶段暂未进行</w:t>
      </w:r>
    </w:p>
    <w:p w14:paraId="5BFCE76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7" w:name="_Toc15808"/>
      <w:r>
        <w:rPr>
          <w:rFonts w:hint="eastAsia"/>
          <w:lang w:val="en-US" w:eastAsia="zh-CN"/>
        </w:rPr>
        <w:t>管评</w:t>
      </w:r>
      <w:bookmarkEnd w:id="67"/>
    </w:p>
    <w:p w14:paraId="0AA0F6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管评</w:t>
      </w:r>
      <w:r>
        <w:t>工作按计划将于2026年12月开展，本阶段暂未进行</w:t>
      </w:r>
    </w:p>
    <w:p w14:paraId="31C214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30E4B1D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8" w:name="_Toc6099"/>
      <w:r>
        <w:rPr>
          <w:rFonts w:hint="eastAsia"/>
          <w:lang w:val="en-US" w:eastAsia="zh-CN"/>
        </w:rPr>
        <w:t>客户满意度</w:t>
      </w:r>
      <w:bookmarkEnd w:id="68"/>
    </w:p>
    <w:p w14:paraId="200FDB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2026年第一季度，客户总体满意度达到100%，满足季度≥90%的考核目标，较2025年同期有显著提升。</w:t>
      </w:r>
    </w:p>
    <w:p w14:paraId="6E13BA6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9" w:name="_Toc24647"/>
      <w:r>
        <w:rPr>
          <w:rFonts w:hint="eastAsia"/>
          <w:lang w:val="en-US" w:eastAsia="zh-CN"/>
        </w:rPr>
        <w:t>客户投诉</w:t>
      </w:r>
      <w:bookmarkEnd w:id="69"/>
    </w:p>
    <w:p w14:paraId="4B6A6C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2026年1-5月，公司运维服务客户投诉次数为0次，达成年度目标值（≤3次）。本阶段未发生客户投诉事件，质量部将持续监控投诉指标，保持良好态势。</w:t>
      </w:r>
    </w:p>
    <w:p w14:paraId="7511FDF1">
      <w:pPr>
        <w:pStyle w:val="30"/>
        <w:bidi w:val="0"/>
        <w:rPr>
          <w:rFonts w:hint="default"/>
          <w:lang w:val="en-US" w:eastAsia="zh-CN"/>
        </w:rPr>
      </w:pPr>
      <w:bookmarkStart w:id="70" w:name="_Toc15703"/>
      <w:bookmarkEnd w:id="70"/>
    </w:p>
    <w:sectPr>
      <w:headerReference r:id="rId5" w:type="default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D91A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DA51A"/>
    <w:multiLevelType w:val="singleLevel"/>
    <w:tmpl w:val="805DA5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86B89C7"/>
    <w:multiLevelType w:val="singleLevel"/>
    <w:tmpl w:val="F86B89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F9E5623"/>
    <w:multiLevelType w:val="singleLevel"/>
    <w:tmpl w:val="FF9E56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2802BCA"/>
    <w:multiLevelType w:val="singleLevel"/>
    <w:tmpl w:val="62802B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A7B5AAA"/>
    <w:multiLevelType w:val="singleLevel"/>
    <w:tmpl w:val="6A7B5A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FB40D3"/>
    <w:rsid w:val="0440480D"/>
    <w:rsid w:val="04697A1A"/>
    <w:rsid w:val="08F0070A"/>
    <w:rsid w:val="098A290C"/>
    <w:rsid w:val="09FB55B8"/>
    <w:rsid w:val="0A3960E0"/>
    <w:rsid w:val="0BD94E53"/>
    <w:rsid w:val="0C9615C8"/>
    <w:rsid w:val="0CFF122E"/>
    <w:rsid w:val="0D786F20"/>
    <w:rsid w:val="0DE5313D"/>
    <w:rsid w:val="0EBE0AFF"/>
    <w:rsid w:val="0EC248F6"/>
    <w:rsid w:val="0ECC7523"/>
    <w:rsid w:val="10AA3894"/>
    <w:rsid w:val="10B464C1"/>
    <w:rsid w:val="10EA5A3E"/>
    <w:rsid w:val="11943BFC"/>
    <w:rsid w:val="11C646FD"/>
    <w:rsid w:val="123B37FA"/>
    <w:rsid w:val="13893C35"/>
    <w:rsid w:val="142179C9"/>
    <w:rsid w:val="14CF399E"/>
    <w:rsid w:val="157E7CA2"/>
    <w:rsid w:val="15A72150"/>
    <w:rsid w:val="15C03212"/>
    <w:rsid w:val="16E80C72"/>
    <w:rsid w:val="17306175"/>
    <w:rsid w:val="17C24AEC"/>
    <w:rsid w:val="187C13DD"/>
    <w:rsid w:val="18D56FD4"/>
    <w:rsid w:val="193208CA"/>
    <w:rsid w:val="1B153F81"/>
    <w:rsid w:val="1B62610C"/>
    <w:rsid w:val="1C403559"/>
    <w:rsid w:val="1CA97A8E"/>
    <w:rsid w:val="1CD31A7D"/>
    <w:rsid w:val="1DE859FC"/>
    <w:rsid w:val="1EB47392"/>
    <w:rsid w:val="1ED97FDF"/>
    <w:rsid w:val="1F124331"/>
    <w:rsid w:val="205E0AF8"/>
    <w:rsid w:val="207134AE"/>
    <w:rsid w:val="20D02E71"/>
    <w:rsid w:val="22146DBF"/>
    <w:rsid w:val="22C55CCE"/>
    <w:rsid w:val="24194B61"/>
    <w:rsid w:val="251F7F55"/>
    <w:rsid w:val="255B157A"/>
    <w:rsid w:val="267267AA"/>
    <w:rsid w:val="28C606E7"/>
    <w:rsid w:val="29583A35"/>
    <w:rsid w:val="2B141BDE"/>
    <w:rsid w:val="2B746B21"/>
    <w:rsid w:val="2C1F6A8C"/>
    <w:rsid w:val="2FD656B4"/>
    <w:rsid w:val="30403475"/>
    <w:rsid w:val="31552F50"/>
    <w:rsid w:val="316D5DCF"/>
    <w:rsid w:val="324848A5"/>
    <w:rsid w:val="328C0BF4"/>
    <w:rsid w:val="34732681"/>
    <w:rsid w:val="3A167863"/>
    <w:rsid w:val="3CD13DD3"/>
    <w:rsid w:val="3E2C6DE7"/>
    <w:rsid w:val="3F4023D9"/>
    <w:rsid w:val="3F5449DF"/>
    <w:rsid w:val="3F8769CB"/>
    <w:rsid w:val="3FC9629E"/>
    <w:rsid w:val="3FCC6AD3"/>
    <w:rsid w:val="4037219F"/>
    <w:rsid w:val="40E63BC5"/>
    <w:rsid w:val="41766AD4"/>
    <w:rsid w:val="42042FE2"/>
    <w:rsid w:val="43F65ECD"/>
    <w:rsid w:val="44EE129A"/>
    <w:rsid w:val="463B050F"/>
    <w:rsid w:val="467251E2"/>
    <w:rsid w:val="46F336A8"/>
    <w:rsid w:val="47867568"/>
    <w:rsid w:val="4812529F"/>
    <w:rsid w:val="482E032B"/>
    <w:rsid w:val="49AF549A"/>
    <w:rsid w:val="4AD73483"/>
    <w:rsid w:val="4E2A50F1"/>
    <w:rsid w:val="4F1801C5"/>
    <w:rsid w:val="4FDC68BF"/>
    <w:rsid w:val="4FF960E0"/>
    <w:rsid w:val="51DC4954"/>
    <w:rsid w:val="52636E23"/>
    <w:rsid w:val="531C6FD2"/>
    <w:rsid w:val="53984E14"/>
    <w:rsid w:val="5550356A"/>
    <w:rsid w:val="55A41C2D"/>
    <w:rsid w:val="55F52488"/>
    <w:rsid w:val="57776ECD"/>
    <w:rsid w:val="581A61D6"/>
    <w:rsid w:val="5847689F"/>
    <w:rsid w:val="59253085"/>
    <w:rsid w:val="59945B14"/>
    <w:rsid w:val="59B61F2F"/>
    <w:rsid w:val="5A4C2893"/>
    <w:rsid w:val="5AAB75B9"/>
    <w:rsid w:val="5AE42ACB"/>
    <w:rsid w:val="5BF154A0"/>
    <w:rsid w:val="5E3478C6"/>
    <w:rsid w:val="5E761284"/>
    <w:rsid w:val="60B371C8"/>
    <w:rsid w:val="60E6375A"/>
    <w:rsid w:val="61C3343B"/>
    <w:rsid w:val="632717A7"/>
    <w:rsid w:val="63BE5FDF"/>
    <w:rsid w:val="64921A25"/>
    <w:rsid w:val="67CE48E7"/>
    <w:rsid w:val="69A47FF6"/>
    <w:rsid w:val="6AA620F6"/>
    <w:rsid w:val="6B140A94"/>
    <w:rsid w:val="6C5162EE"/>
    <w:rsid w:val="6C705F6D"/>
    <w:rsid w:val="6C787517"/>
    <w:rsid w:val="6DD662A4"/>
    <w:rsid w:val="6E511DCE"/>
    <w:rsid w:val="72BE4D6E"/>
    <w:rsid w:val="732B0E40"/>
    <w:rsid w:val="738467A2"/>
    <w:rsid w:val="755A1EB0"/>
    <w:rsid w:val="75A44ED9"/>
    <w:rsid w:val="75E4177A"/>
    <w:rsid w:val="75F419BD"/>
    <w:rsid w:val="77155DD6"/>
    <w:rsid w:val="784D7AAA"/>
    <w:rsid w:val="79823784"/>
    <w:rsid w:val="7A8E48F1"/>
    <w:rsid w:val="7A9D7DA8"/>
    <w:rsid w:val="7B055AA2"/>
    <w:rsid w:val="7B09056F"/>
    <w:rsid w:val="7CB9570E"/>
    <w:rsid w:val="7E25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1387</Words>
  <Characters>1775</Characters>
  <Lines>0</Lines>
  <Paragraphs>0</Paragraphs>
  <TotalTime>0</TotalTime>
  <ScaleCrop>false</ScaleCrop>
  <LinksUpToDate>false</LinksUpToDate>
  <CharactersWithSpaces>1868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2026-05-26T15:15:24Z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