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713278">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6831"/>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8">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14:paraId="0D32828B">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2606"/>
      <w:r>
        <w:rPr>
          <w:rFonts w:hint="eastAsia"/>
          <w:lang w:val="en-US" w:eastAsia="zh-CN"/>
        </w:rPr>
        <w:t>运维服务质量管理制度</w:t>
      </w:r>
      <w:bookmarkEnd w:id="1"/>
    </w:p>
    <w:p w14:paraId="410D5F33">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文件编号：ZGS-04-01</w:t>
      </w:r>
      <w:r>
        <w:rPr>
          <w:rFonts w:hint="eastAsia" w:ascii="宋体" w:hAnsi="宋体" w:eastAsia="宋体" w:cs="宋体"/>
          <w:b/>
          <w:bCs/>
          <w:spacing w:val="-3"/>
          <w:sz w:val="24"/>
          <w:szCs w:val="24"/>
          <w:lang w:val="en-US" w:eastAsia="zh-CN"/>
        </w:rPr>
      </w:r>
      <w:r>
        <w:rPr>
          <w:rFonts w:ascii="宋体" w:hAnsi="宋体" w:eastAsia="宋体" w:cs="宋体"/>
          <w:b/>
          <w:bCs/>
          <w:spacing w:val="-3"/>
          <w:sz w:val="24"/>
          <w:szCs w:val="24"/>
        </w:rPr>
      </w:r>
      <w:r>
        <w:rPr>
          <w:rFonts w:hint="eastAsia" w:ascii="宋体" w:hAnsi="宋体" w:cs="宋体"/>
          <w:b/>
          <w:bCs/>
          <w:spacing w:val="-3"/>
          <w:sz w:val="24"/>
          <w:szCs w:val="24"/>
          <w:lang w:val="en-US" w:eastAsia="zh-CN"/>
        </w:rPr>
      </w:r>
      <w:r>
        <w:rPr>
          <w:rFonts w:ascii="宋体" w:hAnsi="宋体" w:eastAsia="宋体" w:cs="宋体"/>
          <w:b/>
          <w:bCs/>
          <w:spacing w:val="-3"/>
          <w:sz w:val="24"/>
          <w:szCs w:val="24"/>
        </w:rPr>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1C6DC0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448EE575">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编制部门:质量部</w:t>
            </w:r>
            <w:r>
              <w:rPr>
                <w:rFonts w:hint="default" w:asciiTheme="minorAscii" w:hAnsiTheme="minorAscii" w:eastAsiaTheme="minorEastAsia"/>
                <w:spacing w:val="227"/>
                <w:sz w:val="21"/>
                <w:vertAlign w:val="baseline"/>
                <w:lang w:val="en-US" w:eastAsia="zh-CN"/>
              </w:rPr>
            </w:r>
            <w:r>
              <w:rPr>
                <w:rFonts w:hint="eastAsia"/>
                <w:u w:val="single"/>
                <w:vertAlign w:val="baseline"/>
                <w:lang w:val="en-US" w:eastAsia="zh-CN"/>
              </w:rPr>
            </w:r>
          </w:p>
        </w:tc>
        <w:tc>
          <w:tcPr>
            <w:tcW w:w="2708" w:type="dxa"/>
          </w:tcPr>
          <w:p w14:paraId="38388869">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DC498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00C19AE9">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35114BF8">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w:t>
            </w:r>
            <w:bookmarkStart w:id="36" w:name="_GoBack"/>
            <w:bookmarkEnd w:id="36"/>
            <w:r>
              <w:rPr>
                <w:rFonts w:hint="eastAsia"/>
                <w:vertAlign w:val="baseline"/>
                <w:lang w:val="en-US" w:eastAsia="zh-CN"/>
              </w:rPr>
              <w:t>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64FD9B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1EAF4D58">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批准人:刘长凡</w:t>
            </w:r>
            <w:r>
              <w:rPr>
                <w:rFonts w:hint="eastAsia"/>
                <w:spacing w:val="1"/>
                <w:kern w:val="0"/>
                <w:vertAlign w:val="baseline"/>
                <w:lang w:val="en-US" w:eastAsia="zh-CN"/>
              </w:rPr>
            </w:r>
            <w:r>
              <w:rPr>
                <w:rFonts w:hint="eastAsia" w:asciiTheme="minorAscii" w:hAnsiTheme="minorAscii" w:eastAsiaTheme="minorEastAsia"/>
                <w:spacing w:val="227"/>
                <w:sz w:val="21"/>
                <w:vertAlign w:val="baseline"/>
                <w:lang w:val="en-US" w:eastAsia="zh-CN"/>
              </w:rPr>
            </w:r>
            <w:r>
              <w:rPr>
                <w:rFonts w:hint="eastAsia"/>
                <w:u w:val="single"/>
                <w:lang w:val="en-US" w:eastAsia="zh-CN"/>
              </w:rPr>
            </w:r>
          </w:p>
        </w:tc>
        <w:tc>
          <w:tcPr>
            <w:tcW w:w="2708" w:type="dxa"/>
          </w:tcPr>
          <w:p w14:paraId="4F82DD7C">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67C7ACDC">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1B59E253">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302058F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131FB3EA">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7B9261E1">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29DB4BE6">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5FAAF57F">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31A7E1B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43BA8D92">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19" w:type="dxa"/>
          </w:tcPr>
          <w:p w14:paraId="4327BD7A">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63745A24">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新建</w:t>
            </w:r>
          </w:p>
        </w:tc>
        <w:tc>
          <w:tcPr>
            <w:tcW w:w="1240" w:type="dxa"/>
          </w:tcPr>
          <w:p w14:paraId="27039D05">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lang w:val="en-US" w:eastAsia="zh-CN"/>
              </w:rPr>
              <w:t>刘长凡</w:t>
            </w:r>
          </w:p>
        </w:tc>
      </w:tr>
      <w:tr w14:paraId="068827B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51C8430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2E3D5A0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2604083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618720D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6379E5A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429236A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765CAFD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7F94C17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03D8992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762A1CD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2E57F4F1">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3EF340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271950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1C5379F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11934945">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hint="eastAsia" w:ascii="宋体" w:hAnsi="宋体" w:eastAsia="宋体" w:cs="宋体"/>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2BD8E9EC">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336"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z w:val="21"/>
              <w:szCs w:val="21"/>
            </w:rPr>
            <w:t>目录</w:t>
          </w:r>
        </w:p>
        <w:p w14:paraId="60315D28">
          <w:pPr>
            <w:pStyle w:val="16"/>
            <w:tabs>
              <w:tab w:val="right" w:leader="dot" w:pos="8306"/>
            </w:tabs>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TOC \o "1-3" \h \u </w:instrText>
          </w:r>
          <w:r>
            <w:rPr>
              <w:rFonts w:hint="eastAsia" w:ascii="宋体" w:hAnsi="宋体" w:eastAsia="宋体" w:cs="宋体"/>
              <w:sz w:val="21"/>
              <w:szCs w:val="21"/>
            </w:rPr>
            <w:fldChar w:fldCharType="separate"/>
          </w:r>
          <w:r>
            <w:rPr>
              <w:rFonts w:hint="eastAsia" w:ascii="宋体" w:hAnsi="宋体" w:eastAsia="宋体" w:cs="宋体"/>
              <w:szCs w:val="21"/>
            </w:rPr>
            <w:fldChar w:fldCharType="begin"/>
          </w:r>
          <w:r>
            <w:rPr>
              <w:rFonts w:hint="eastAsia" w:ascii="宋体" w:hAnsi="宋体" w:eastAsia="宋体" w:cs="宋体"/>
              <w:szCs w:val="21"/>
            </w:rPr>
            <w:instrText xml:space="preserve"> HYPERLINK \l _Toc26831 </w:instrText>
          </w:r>
          <w:r>
            <w:rPr>
              <w:rFonts w:hint="eastAsia" w:ascii="宋体" w:hAnsi="宋体" w:eastAsia="宋体" w:cs="宋体"/>
              <w:szCs w:val="21"/>
            </w:rPr>
            <w:fldChar w:fldCharType="separate"/>
          </w:r>
          <w:r>
            <w:rPr>
              <w:rFonts w:hint="eastAsia"/>
              <w:lang w:val="en-US" w:eastAsia="zh-CN"/>
            </w:rPr>
            <w:t>重庆市鹧鸪哨信息技术有限责任公司</w:t>
          </w:r>
          <w:r>
            <w:tab/>
          </w:r>
          <w:r>
            <w:fldChar w:fldCharType="begin"/>
          </w:r>
          <w:r>
            <w:instrText xml:space="preserve"> PAGEREF _Toc26831 \h </w:instrText>
          </w:r>
          <w:r>
            <w:fldChar w:fldCharType="separate"/>
          </w:r>
          <w:r>
            <w:t>1</w:t>
          </w:r>
          <w:r>
            <w:fldChar w:fldCharType="end"/>
          </w:r>
          <w:r>
            <w:rPr>
              <w:rFonts w:hint="eastAsia" w:ascii="宋体" w:hAnsi="宋体" w:eastAsia="宋体" w:cs="宋体"/>
              <w:szCs w:val="21"/>
            </w:rPr>
            <w:fldChar w:fldCharType="end"/>
          </w:r>
        </w:p>
        <w:p w14:paraId="0A1228DE">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_Toc22606 </w:instrText>
          </w:r>
          <w:r>
            <w:rPr>
              <w:rFonts w:hint="eastAsia" w:ascii="宋体" w:hAnsi="宋体" w:eastAsia="宋体" w:cs="宋体"/>
              <w:szCs w:val="21"/>
            </w:rPr>
            <w:fldChar w:fldCharType="separate"/>
          </w:r>
          <w:r>
            <w:rPr>
              <w:rFonts w:hint="eastAsia"/>
              <w:lang w:val="en-US" w:eastAsia="zh-CN"/>
            </w:rPr>
            <w:t>运维服务质量管理制度</w:t>
          </w:r>
          <w:r>
            <w:tab/>
          </w:r>
          <w:r>
            <w:fldChar w:fldCharType="begin"/>
          </w:r>
          <w:r>
            <w:instrText xml:space="preserve"> PAGEREF _Toc22606 \h </w:instrText>
          </w:r>
          <w:r>
            <w:fldChar w:fldCharType="separate"/>
          </w:r>
          <w:r>
            <w:t>1</w:t>
          </w:r>
          <w:r>
            <w:fldChar w:fldCharType="end"/>
          </w:r>
          <w:r>
            <w:rPr>
              <w:rFonts w:hint="eastAsia" w:ascii="宋体" w:hAnsi="宋体" w:eastAsia="宋体" w:cs="宋体"/>
              <w:szCs w:val="21"/>
            </w:rPr>
            <w:fldChar w:fldCharType="end"/>
          </w:r>
        </w:p>
        <w:p w14:paraId="2A86E9BF">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_Toc10461 </w:instrText>
          </w:r>
          <w:r>
            <w:rPr>
              <w:rFonts w:hint="eastAsia" w:ascii="宋体" w:hAnsi="宋体" w:eastAsia="宋体" w:cs="宋体"/>
              <w:szCs w:val="21"/>
            </w:rPr>
            <w:fldChar w:fldCharType="separate"/>
          </w:r>
          <w:r>
            <w:rPr>
              <w:rFonts w:hint="default"/>
            </w:rPr>
            <w:t xml:space="preserve">1. </w:t>
          </w:r>
          <w:r>
            <w:rPr>
              <w:rFonts w:hint="eastAsia"/>
              <w:lang w:val="en-US" w:eastAsia="zh-CN"/>
            </w:rPr>
            <w:t>总则</w:t>
          </w:r>
          <w:r>
            <w:tab/>
          </w:r>
          <w:r>
            <w:fldChar w:fldCharType="begin"/>
          </w:r>
          <w:r>
            <w:instrText xml:space="preserve"> PAGEREF _Toc10461 \h </w:instrText>
          </w:r>
          <w:r>
            <w:fldChar w:fldCharType="separate"/>
          </w:r>
          <w:r>
            <w:t>5</w:t>
          </w:r>
          <w:r>
            <w:fldChar w:fldCharType="end"/>
          </w:r>
          <w:r>
            <w:rPr>
              <w:rFonts w:hint="eastAsia" w:ascii="宋体" w:hAnsi="宋体" w:eastAsia="宋体" w:cs="宋体"/>
              <w:szCs w:val="21"/>
            </w:rPr>
            <w:fldChar w:fldCharType="end"/>
          </w:r>
        </w:p>
        <w:p w14:paraId="5F8BEADB">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_Toc22649 </w:instrText>
          </w:r>
          <w:r>
            <w:rPr>
              <w:rFonts w:hint="eastAsia" w:ascii="宋体" w:hAnsi="宋体" w:eastAsia="宋体" w:cs="宋体"/>
              <w:szCs w:val="21"/>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_Toc22649 \h </w:instrText>
          </w:r>
          <w:r>
            <w:fldChar w:fldCharType="separate"/>
          </w:r>
          <w:r>
            <w:t>5</w:t>
          </w:r>
          <w:r>
            <w:fldChar w:fldCharType="end"/>
          </w:r>
          <w:r>
            <w:rPr>
              <w:rFonts w:hint="eastAsia" w:ascii="宋体" w:hAnsi="宋体" w:eastAsia="宋体" w:cs="宋体"/>
              <w:szCs w:val="21"/>
            </w:rPr>
            <w:fldChar w:fldCharType="end"/>
          </w:r>
        </w:p>
        <w:p w14:paraId="6FC66895">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_Toc10872 </w:instrText>
          </w:r>
          <w:r>
            <w:rPr>
              <w:rFonts w:hint="eastAsia" w:ascii="宋体" w:hAnsi="宋体" w:eastAsia="宋体" w:cs="宋体"/>
              <w:szCs w:val="21"/>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_Toc10872 \h </w:instrText>
          </w:r>
          <w:r>
            <w:fldChar w:fldCharType="separate"/>
          </w:r>
          <w:r>
            <w:t>5</w:t>
          </w:r>
          <w:r>
            <w:fldChar w:fldCharType="end"/>
          </w:r>
          <w:r>
            <w:rPr>
              <w:rFonts w:hint="eastAsia" w:ascii="宋体" w:hAnsi="宋体" w:eastAsia="宋体" w:cs="宋体"/>
              <w:szCs w:val="21"/>
            </w:rPr>
            <w:fldChar w:fldCharType="end"/>
          </w:r>
        </w:p>
        <w:p w14:paraId="05BA51B4">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_Toc1008 </w:instrText>
          </w:r>
          <w:r>
            <w:rPr>
              <w:rFonts w:hint="eastAsia" w:ascii="宋体" w:hAnsi="宋体" w:eastAsia="宋体" w:cs="宋体"/>
              <w:szCs w:val="21"/>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_Toc1008 \h </w:instrText>
          </w:r>
          <w:r>
            <w:fldChar w:fldCharType="separate"/>
          </w:r>
          <w:r>
            <w:t>5</w:t>
          </w:r>
          <w:r>
            <w:fldChar w:fldCharType="end"/>
          </w:r>
          <w:r>
            <w:rPr>
              <w:rFonts w:hint="eastAsia" w:ascii="宋体" w:hAnsi="宋体" w:eastAsia="宋体" w:cs="宋体"/>
              <w:szCs w:val="21"/>
            </w:rPr>
            <w:fldChar w:fldCharType="end"/>
          </w:r>
        </w:p>
        <w:p w14:paraId="49A4FC32">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_Toc29530 </w:instrText>
          </w:r>
          <w:r>
            <w:rPr>
              <w:rFonts w:hint="eastAsia" w:ascii="宋体" w:hAnsi="宋体" w:eastAsia="宋体" w:cs="宋体"/>
              <w:szCs w:val="21"/>
            </w:rPr>
            <w:fldChar w:fldCharType="separate"/>
          </w:r>
          <w:r>
            <w:rPr>
              <w:rFonts w:hint="default"/>
              <w:lang w:val="en-US" w:eastAsia="zh-CN"/>
            </w:rPr>
            <w:t xml:space="preserve">1.4. </w:t>
          </w:r>
          <w:r>
            <w:rPr>
              <w:rFonts w:hint="eastAsia"/>
              <w:lang w:val="en-US" w:eastAsia="zh-CN"/>
            </w:rPr>
            <w:t>岗位职责</w:t>
          </w:r>
          <w:r>
            <w:tab/>
          </w:r>
          <w:r>
            <w:fldChar w:fldCharType="begin"/>
          </w:r>
          <w:r>
            <w:instrText xml:space="preserve"> PAGEREF _Toc29530 \h </w:instrText>
          </w:r>
          <w:r>
            <w:fldChar w:fldCharType="separate"/>
          </w:r>
          <w:r>
            <w:t>5</w:t>
          </w:r>
          <w:r>
            <w:fldChar w:fldCharType="end"/>
          </w:r>
          <w:r>
            <w:rPr>
              <w:rFonts w:hint="eastAsia" w:ascii="宋体" w:hAnsi="宋体" w:eastAsia="宋体" w:cs="宋体"/>
              <w:szCs w:val="21"/>
            </w:rPr>
            <w:fldChar w:fldCharType="end"/>
          </w:r>
        </w:p>
        <w:p w14:paraId="636F3BE3">
          <w:pPr>
            <w:pStyle w:val="13"/>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_Toc13082 </w:instrText>
          </w:r>
          <w:r>
            <w:rPr>
              <w:rFonts w:hint="eastAsia" w:ascii="宋体" w:hAnsi="宋体" w:eastAsia="宋体" w:cs="宋体"/>
              <w:szCs w:val="21"/>
            </w:rPr>
            <w:fldChar w:fldCharType="separate"/>
          </w:r>
          <w:r>
            <w:rPr>
              <w:rFonts w:hint="default"/>
              <w:lang w:val="en-US" w:eastAsia="zh-CN"/>
            </w:rPr>
            <w:t>1.4.1. 公司高层</w:t>
          </w:r>
          <w:r>
            <w:tab/>
          </w:r>
          <w:r>
            <w:fldChar w:fldCharType="begin"/>
          </w:r>
          <w:r>
            <w:instrText xml:space="preserve"> PAGEREF _Toc13082 \h </w:instrText>
          </w:r>
          <w:r>
            <w:fldChar w:fldCharType="separate"/>
          </w:r>
          <w:r>
            <w:t>5</w:t>
          </w:r>
          <w:r>
            <w:fldChar w:fldCharType="end"/>
          </w:r>
          <w:r>
            <w:rPr>
              <w:rFonts w:hint="eastAsia" w:ascii="宋体" w:hAnsi="宋体" w:eastAsia="宋体" w:cs="宋体"/>
              <w:szCs w:val="21"/>
            </w:rPr>
            <w:fldChar w:fldCharType="end"/>
          </w:r>
        </w:p>
        <w:p w14:paraId="3F1AC30D">
          <w:pPr>
            <w:pStyle w:val="13"/>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_Toc1432 </w:instrText>
          </w:r>
          <w:r>
            <w:rPr>
              <w:rFonts w:hint="eastAsia" w:ascii="宋体" w:hAnsi="宋体" w:eastAsia="宋体" w:cs="宋体"/>
              <w:szCs w:val="21"/>
            </w:rPr>
            <w:fldChar w:fldCharType="separate"/>
          </w:r>
          <w:r>
            <w:rPr>
              <w:rFonts w:hint="default"/>
              <w:lang w:val="en-US" w:eastAsia="zh-CN"/>
            </w:rPr>
            <w:t>1.4.2. 管理者代表</w:t>
          </w:r>
          <w:r>
            <w:tab/>
          </w:r>
          <w:r>
            <w:fldChar w:fldCharType="begin"/>
          </w:r>
          <w:r>
            <w:instrText xml:space="preserve"> PAGEREF _Toc1432 \h </w:instrText>
          </w:r>
          <w:r>
            <w:fldChar w:fldCharType="separate"/>
          </w:r>
          <w:r>
            <w:t>5</w:t>
          </w:r>
          <w:r>
            <w:fldChar w:fldCharType="end"/>
          </w:r>
          <w:r>
            <w:rPr>
              <w:rFonts w:hint="eastAsia" w:ascii="宋体" w:hAnsi="宋体" w:eastAsia="宋体" w:cs="宋体"/>
              <w:szCs w:val="21"/>
            </w:rPr>
            <w:fldChar w:fldCharType="end"/>
          </w:r>
        </w:p>
        <w:p w14:paraId="38879DD9">
          <w:pPr>
            <w:pStyle w:val="13"/>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_Toc26065 </w:instrText>
          </w:r>
          <w:r>
            <w:rPr>
              <w:rFonts w:hint="eastAsia" w:ascii="宋体" w:hAnsi="宋体" w:eastAsia="宋体" w:cs="宋体"/>
              <w:szCs w:val="21"/>
            </w:rPr>
            <w:fldChar w:fldCharType="separate"/>
          </w:r>
          <w:r>
            <w:rPr>
              <w:rFonts w:hint="default"/>
              <w:lang w:val="en-US" w:eastAsia="zh-CN"/>
            </w:rPr>
            <w:t>1.4.3. 数据部</w:t>
          </w:r>
          <w:r>
            <w:tab/>
          </w:r>
          <w:r>
            <w:fldChar w:fldCharType="begin"/>
          </w:r>
          <w:r>
            <w:instrText xml:space="preserve"> PAGEREF _Toc26065 \h </w:instrText>
          </w:r>
          <w:r>
            <w:fldChar w:fldCharType="separate"/>
          </w:r>
          <w:r>
            <w:t>6</w:t>
          </w:r>
          <w:r>
            <w:fldChar w:fldCharType="end"/>
          </w:r>
          <w:r>
            <w:rPr>
              <w:rFonts w:hint="eastAsia" w:ascii="宋体" w:hAnsi="宋体" w:eastAsia="宋体" w:cs="宋体"/>
              <w:szCs w:val="21"/>
            </w:rPr>
            <w:fldChar w:fldCharType="end"/>
          </w:r>
        </w:p>
        <w:p w14:paraId="6A48DC69">
          <w:pPr>
            <w:pStyle w:val="13"/>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_Toc22328 </w:instrText>
          </w:r>
          <w:r>
            <w:rPr>
              <w:rFonts w:hint="eastAsia" w:ascii="宋体" w:hAnsi="宋体" w:eastAsia="宋体" w:cs="宋体"/>
              <w:szCs w:val="21"/>
            </w:rPr>
            <w:fldChar w:fldCharType="separate"/>
          </w:r>
          <w:r>
            <w:rPr>
              <w:rFonts w:hint="default"/>
              <w:lang w:val="en-US" w:eastAsia="zh-CN"/>
            </w:rPr>
            <w:t>1.4.4. 运维部</w:t>
          </w:r>
          <w:r>
            <w:tab/>
          </w:r>
          <w:r>
            <w:fldChar w:fldCharType="begin"/>
          </w:r>
          <w:r>
            <w:instrText xml:space="preserve"> PAGEREF _Toc22328 \h </w:instrText>
          </w:r>
          <w:r>
            <w:fldChar w:fldCharType="separate"/>
          </w:r>
          <w:r>
            <w:t>6</w:t>
          </w:r>
          <w:r>
            <w:fldChar w:fldCharType="end"/>
          </w:r>
          <w:r>
            <w:rPr>
              <w:rFonts w:hint="eastAsia" w:ascii="宋体" w:hAnsi="宋体" w:eastAsia="宋体" w:cs="宋体"/>
              <w:szCs w:val="21"/>
            </w:rPr>
            <w:fldChar w:fldCharType="end"/>
          </w:r>
        </w:p>
        <w:p w14:paraId="0A2B8AA6">
          <w:pPr>
            <w:pStyle w:val="13"/>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_Toc16701 </w:instrText>
          </w:r>
          <w:r>
            <w:rPr>
              <w:rFonts w:hint="eastAsia" w:ascii="宋体" w:hAnsi="宋体" w:eastAsia="宋体" w:cs="宋体"/>
              <w:szCs w:val="21"/>
            </w:rPr>
            <w:fldChar w:fldCharType="separate"/>
          </w:r>
          <w:r>
            <w:rPr>
              <w:rFonts w:hint="default"/>
              <w:lang w:val="en-US" w:eastAsia="zh-CN"/>
            </w:rPr>
            <w:t>1.4.5. 行政部</w:t>
          </w:r>
          <w:r>
            <w:tab/>
          </w:r>
          <w:r>
            <w:fldChar w:fldCharType="begin"/>
          </w:r>
          <w:r>
            <w:instrText xml:space="preserve"> PAGEREF _Toc16701 \h </w:instrText>
          </w:r>
          <w:r>
            <w:fldChar w:fldCharType="separate"/>
          </w:r>
          <w:r>
            <w:t>6</w:t>
          </w:r>
          <w:r>
            <w:fldChar w:fldCharType="end"/>
          </w:r>
          <w:r>
            <w:rPr>
              <w:rFonts w:hint="eastAsia" w:ascii="宋体" w:hAnsi="宋体" w:eastAsia="宋体" w:cs="宋体"/>
              <w:szCs w:val="21"/>
            </w:rPr>
            <w:fldChar w:fldCharType="end"/>
          </w:r>
        </w:p>
        <w:p w14:paraId="29F8333D">
          <w:pPr>
            <w:pStyle w:val="13"/>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_Toc11058 </w:instrText>
          </w:r>
          <w:r>
            <w:rPr>
              <w:rFonts w:hint="eastAsia" w:ascii="宋体" w:hAnsi="宋体" w:eastAsia="宋体" w:cs="宋体"/>
              <w:szCs w:val="21"/>
            </w:rPr>
            <w:fldChar w:fldCharType="separate"/>
          </w:r>
          <w:r>
            <w:rPr>
              <w:rFonts w:hint="default"/>
              <w:lang w:val="en-US" w:eastAsia="zh-CN"/>
            </w:rPr>
            <w:t>1.4.6. 市场部</w:t>
          </w:r>
          <w:r>
            <w:tab/>
          </w:r>
          <w:r>
            <w:fldChar w:fldCharType="begin"/>
          </w:r>
          <w:r>
            <w:instrText xml:space="preserve"> PAGEREF _Toc11058 \h </w:instrText>
          </w:r>
          <w:r>
            <w:fldChar w:fldCharType="separate"/>
          </w:r>
          <w:r>
            <w:t>6</w:t>
          </w:r>
          <w:r>
            <w:fldChar w:fldCharType="end"/>
          </w:r>
          <w:r>
            <w:rPr>
              <w:rFonts w:hint="eastAsia" w:ascii="宋体" w:hAnsi="宋体" w:eastAsia="宋体" w:cs="宋体"/>
              <w:szCs w:val="21"/>
            </w:rPr>
            <w:fldChar w:fldCharType="end"/>
          </w:r>
        </w:p>
        <w:p w14:paraId="47F291E6">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_Toc3379 </w:instrText>
          </w:r>
          <w:r>
            <w:rPr>
              <w:rFonts w:hint="eastAsia" w:ascii="宋体" w:hAnsi="宋体" w:eastAsia="宋体" w:cs="宋体"/>
              <w:szCs w:val="21"/>
            </w:rPr>
            <w:fldChar w:fldCharType="separate"/>
          </w:r>
          <w:r>
            <w:rPr>
              <w:rFonts w:hint="default"/>
              <w:lang w:val="en-US" w:eastAsia="zh-CN"/>
            </w:rPr>
            <w:t xml:space="preserve">2. </w:t>
          </w:r>
          <w:r>
            <w:rPr>
              <w:rFonts w:hint="eastAsia"/>
              <w:lang w:val="en-US" w:eastAsia="zh-CN"/>
            </w:rPr>
            <w:t>引用依据</w:t>
          </w:r>
          <w:r>
            <w:tab/>
          </w:r>
          <w:r>
            <w:fldChar w:fldCharType="begin"/>
          </w:r>
          <w:r>
            <w:instrText xml:space="preserve"> PAGEREF _Toc3379 \h </w:instrText>
          </w:r>
          <w:r>
            <w:fldChar w:fldCharType="separate"/>
          </w:r>
          <w:r>
            <w:t>6</w:t>
          </w:r>
          <w:r>
            <w:fldChar w:fldCharType="end"/>
          </w:r>
          <w:r>
            <w:rPr>
              <w:rFonts w:hint="eastAsia" w:ascii="宋体" w:hAnsi="宋体" w:eastAsia="宋体" w:cs="宋体"/>
              <w:szCs w:val="21"/>
            </w:rPr>
            <w:fldChar w:fldCharType="end"/>
          </w:r>
        </w:p>
        <w:p w14:paraId="3D72F831">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_Toc32703 </w:instrText>
          </w:r>
          <w:r>
            <w:rPr>
              <w:rFonts w:hint="eastAsia" w:ascii="宋体" w:hAnsi="宋体" w:eastAsia="宋体" w:cs="宋体"/>
              <w:szCs w:val="21"/>
            </w:rPr>
            <w:fldChar w:fldCharType="separate"/>
          </w:r>
          <w:r>
            <w:rPr>
              <w:rFonts w:hint="default"/>
            </w:rPr>
            <w:t xml:space="preserve">3. </w:t>
          </w:r>
          <w:r>
            <w:rPr>
              <w:rFonts w:hint="eastAsia"/>
              <w:lang w:val="en-US" w:eastAsia="zh-CN"/>
            </w:rPr>
            <w:t>定义与术语</w:t>
          </w:r>
          <w:r>
            <w:tab/>
          </w:r>
          <w:r>
            <w:fldChar w:fldCharType="begin"/>
          </w:r>
          <w:r>
            <w:instrText xml:space="preserve"> PAGEREF _Toc32703 \h </w:instrText>
          </w:r>
          <w:r>
            <w:fldChar w:fldCharType="separate"/>
          </w:r>
          <w:r>
            <w:t>6</w:t>
          </w:r>
          <w:r>
            <w:fldChar w:fldCharType="end"/>
          </w:r>
          <w:r>
            <w:rPr>
              <w:rFonts w:hint="eastAsia" w:ascii="宋体" w:hAnsi="宋体" w:eastAsia="宋体" w:cs="宋体"/>
              <w:szCs w:val="21"/>
            </w:rPr>
            <w:fldChar w:fldCharType="end"/>
          </w:r>
        </w:p>
        <w:p w14:paraId="081506E2">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_Toc13791 </w:instrText>
          </w:r>
          <w:r>
            <w:rPr>
              <w:rFonts w:hint="eastAsia" w:ascii="宋体" w:hAnsi="宋体" w:eastAsia="宋体" w:cs="宋体"/>
              <w:szCs w:val="21"/>
            </w:rPr>
            <w:fldChar w:fldCharType="separate"/>
          </w:r>
          <w:r>
            <w:rPr>
              <w:rFonts w:hint="default"/>
            </w:rPr>
            <w:t xml:space="preserve">3.1. </w:t>
          </w:r>
          <w:r>
            <w:rPr>
              <w:rFonts w:hint="eastAsia"/>
            </w:rPr>
            <w:t>SLA</w:t>
          </w:r>
          <w:r>
            <w:tab/>
          </w:r>
          <w:r>
            <w:fldChar w:fldCharType="begin"/>
          </w:r>
          <w:r>
            <w:instrText xml:space="preserve"> PAGEREF _Toc13791 \h </w:instrText>
          </w:r>
          <w:r>
            <w:fldChar w:fldCharType="separate"/>
          </w:r>
          <w:r>
            <w:t>6</w:t>
          </w:r>
          <w:r>
            <w:fldChar w:fldCharType="end"/>
          </w:r>
          <w:r>
            <w:rPr>
              <w:rFonts w:hint="eastAsia" w:ascii="宋体" w:hAnsi="宋体" w:eastAsia="宋体" w:cs="宋体"/>
              <w:szCs w:val="21"/>
            </w:rPr>
            <w:fldChar w:fldCharType="end"/>
          </w:r>
        </w:p>
        <w:p w14:paraId="6EC65165">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_Toc9190 </w:instrText>
          </w:r>
          <w:r>
            <w:rPr>
              <w:rFonts w:hint="eastAsia" w:ascii="宋体" w:hAnsi="宋体" w:eastAsia="宋体" w:cs="宋体"/>
              <w:szCs w:val="21"/>
            </w:rPr>
            <w:fldChar w:fldCharType="separate"/>
          </w:r>
          <w:r>
            <w:rPr>
              <w:rFonts w:hint="default"/>
            </w:rPr>
            <w:t xml:space="preserve">3.2. </w:t>
          </w:r>
          <w:r>
            <w:rPr>
              <w:rFonts w:hint="eastAsia"/>
            </w:rPr>
            <w:t>内部审核</w:t>
          </w:r>
          <w:r>
            <w:tab/>
          </w:r>
          <w:r>
            <w:fldChar w:fldCharType="begin"/>
          </w:r>
          <w:r>
            <w:instrText xml:space="preserve"> PAGEREF _Toc9190 \h </w:instrText>
          </w:r>
          <w:r>
            <w:fldChar w:fldCharType="separate"/>
          </w:r>
          <w:r>
            <w:t>6</w:t>
          </w:r>
          <w:r>
            <w:fldChar w:fldCharType="end"/>
          </w:r>
          <w:r>
            <w:rPr>
              <w:rFonts w:hint="eastAsia" w:ascii="宋体" w:hAnsi="宋体" w:eastAsia="宋体" w:cs="宋体"/>
              <w:szCs w:val="21"/>
            </w:rPr>
            <w:fldChar w:fldCharType="end"/>
          </w:r>
        </w:p>
        <w:p w14:paraId="51F6BE69">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_Toc15243 </w:instrText>
          </w:r>
          <w:r>
            <w:rPr>
              <w:rFonts w:hint="eastAsia" w:ascii="宋体" w:hAnsi="宋体" w:eastAsia="宋体" w:cs="宋体"/>
              <w:szCs w:val="21"/>
            </w:rPr>
            <w:fldChar w:fldCharType="separate"/>
          </w:r>
          <w:r>
            <w:rPr>
              <w:rFonts w:hint="default"/>
            </w:rPr>
            <w:t xml:space="preserve">3.3. </w:t>
          </w:r>
          <w:r>
            <w:rPr>
              <w:rFonts w:hint="eastAsia"/>
            </w:rPr>
            <w:t>管理评审</w:t>
          </w:r>
          <w:r>
            <w:tab/>
          </w:r>
          <w:r>
            <w:fldChar w:fldCharType="begin"/>
          </w:r>
          <w:r>
            <w:instrText xml:space="preserve"> PAGEREF _Toc15243 \h </w:instrText>
          </w:r>
          <w:r>
            <w:fldChar w:fldCharType="separate"/>
          </w:r>
          <w:r>
            <w:t>7</w:t>
          </w:r>
          <w:r>
            <w:fldChar w:fldCharType="end"/>
          </w:r>
          <w:r>
            <w:rPr>
              <w:rFonts w:hint="eastAsia" w:ascii="宋体" w:hAnsi="宋体" w:eastAsia="宋体" w:cs="宋体"/>
              <w:szCs w:val="21"/>
            </w:rPr>
            <w:fldChar w:fldCharType="end"/>
          </w:r>
        </w:p>
        <w:p w14:paraId="44BE2B7C">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_Toc22178 </w:instrText>
          </w:r>
          <w:r>
            <w:rPr>
              <w:rFonts w:hint="eastAsia" w:ascii="宋体" w:hAnsi="宋体" w:eastAsia="宋体" w:cs="宋体"/>
              <w:szCs w:val="21"/>
            </w:rPr>
            <w:fldChar w:fldCharType="separate"/>
          </w:r>
          <w:r>
            <w:rPr>
              <w:rFonts w:hint="default"/>
            </w:rPr>
            <w:t xml:space="preserve">3.4. </w:t>
          </w:r>
          <w:r>
            <w:rPr>
              <w:rFonts w:hint="eastAsia"/>
            </w:rPr>
            <w:t>不符合项</w:t>
          </w:r>
          <w:r>
            <w:tab/>
          </w:r>
          <w:r>
            <w:fldChar w:fldCharType="begin"/>
          </w:r>
          <w:r>
            <w:instrText xml:space="preserve"> PAGEREF _Toc22178 \h </w:instrText>
          </w:r>
          <w:r>
            <w:fldChar w:fldCharType="separate"/>
          </w:r>
          <w:r>
            <w:t>7</w:t>
          </w:r>
          <w:r>
            <w:fldChar w:fldCharType="end"/>
          </w:r>
          <w:r>
            <w:rPr>
              <w:rFonts w:hint="eastAsia" w:ascii="宋体" w:hAnsi="宋体" w:eastAsia="宋体" w:cs="宋体"/>
              <w:szCs w:val="21"/>
            </w:rPr>
            <w:fldChar w:fldCharType="end"/>
          </w:r>
        </w:p>
        <w:p w14:paraId="685808D7">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_Toc2487 </w:instrText>
          </w:r>
          <w:r>
            <w:rPr>
              <w:rFonts w:hint="eastAsia" w:ascii="宋体" w:hAnsi="宋体" w:eastAsia="宋体" w:cs="宋体"/>
              <w:szCs w:val="21"/>
            </w:rPr>
            <w:fldChar w:fldCharType="separate"/>
          </w:r>
          <w:r>
            <w:rPr>
              <w:rFonts w:hint="default"/>
              <w:lang w:val="en-US" w:eastAsia="zh-CN"/>
            </w:rPr>
            <w:t xml:space="preserve">4. </w:t>
          </w:r>
          <w:r>
            <w:rPr>
              <w:rFonts w:hint="eastAsia"/>
              <w:lang w:val="en-US" w:eastAsia="zh-CN"/>
            </w:rPr>
            <w:t>管理内容与要求</w:t>
          </w:r>
          <w:r>
            <w:tab/>
          </w:r>
          <w:r>
            <w:fldChar w:fldCharType="begin"/>
          </w:r>
          <w:r>
            <w:instrText xml:space="preserve"> PAGEREF _Toc2487 \h </w:instrText>
          </w:r>
          <w:r>
            <w:fldChar w:fldCharType="separate"/>
          </w:r>
          <w:r>
            <w:t>7</w:t>
          </w:r>
          <w:r>
            <w:fldChar w:fldCharType="end"/>
          </w:r>
          <w:r>
            <w:rPr>
              <w:rFonts w:hint="eastAsia" w:ascii="宋体" w:hAnsi="宋体" w:eastAsia="宋体" w:cs="宋体"/>
              <w:szCs w:val="21"/>
            </w:rPr>
            <w:fldChar w:fldCharType="end"/>
          </w:r>
        </w:p>
        <w:p w14:paraId="7512BEC0">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_Toc9247 </w:instrText>
          </w:r>
          <w:r>
            <w:rPr>
              <w:rFonts w:hint="eastAsia" w:ascii="宋体" w:hAnsi="宋体" w:eastAsia="宋体" w:cs="宋体"/>
              <w:szCs w:val="21"/>
            </w:rPr>
            <w:fldChar w:fldCharType="separate"/>
          </w:r>
          <w:r>
            <w:rPr>
              <w:rFonts w:hint="default"/>
              <w:lang w:val="en-US" w:eastAsia="zh-CN"/>
            </w:rPr>
            <w:t>4.1. 体系审核与评审管理</w:t>
          </w:r>
          <w:r>
            <w:tab/>
          </w:r>
          <w:r>
            <w:fldChar w:fldCharType="begin"/>
          </w:r>
          <w:r>
            <w:instrText xml:space="preserve"> PAGEREF _Toc9247 \h </w:instrText>
          </w:r>
          <w:r>
            <w:fldChar w:fldCharType="separate"/>
          </w:r>
          <w:r>
            <w:t>7</w:t>
          </w:r>
          <w:r>
            <w:fldChar w:fldCharType="end"/>
          </w:r>
          <w:r>
            <w:rPr>
              <w:rFonts w:hint="eastAsia" w:ascii="宋体" w:hAnsi="宋体" w:eastAsia="宋体" w:cs="宋体"/>
              <w:szCs w:val="21"/>
            </w:rPr>
            <w:fldChar w:fldCharType="end"/>
          </w:r>
        </w:p>
        <w:p w14:paraId="63EAB5EA">
          <w:pPr>
            <w:pStyle w:val="13"/>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_Toc14306 </w:instrText>
          </w:r>
          <w:r>
            <w:rPr>
              <w:rFonts w:hint="eastAsia" w:ascii="宋体" w:hAnsi="宋体" w:eastAsia="宋体" w:cs="宋体"/>
              <w:szCs w:val="21"/>
            </w:rPr>
            <w:fldChar w:fldCharType="separate"/>
          </w:r>
          <w:r>
            <w:rPr>
              <w:rFonts w:hint="default"/>
              <w:lang w:val="en-US" w:eastAsia="zh-CN"/>
            </w:rPr>
            <w:t>4.1.1. 内部审核</w:t>
          </w:r>
          <w:r>
            <w:tab/>
          </w:r>
          <w:r>
            <w:fldChar w:fldCharType="begin"/>
          </w:r>
          <w:r>
            <w:instrText xml:space="preserve"> PAGEREF _Toc14306 \h </w:instrText>
          </w:r>
          <w:r>
            <w:fldChar w:fldCharType="separate"/>
          </w:r>
          <w:r>
            <w:t>7</w:t>
          </w:r>
          <w:r>
            <w:fldChar w:fldCharType="end"/>
          </w:r>
          <w:r>
            <w:rPr>
              <w:rFonts w:hint="eastAsia" w:ascii="宋体" w:hAnsi="宋体" w:eastAsia="宋体" w:cs="宋体"/>
              <w:szCs w:val="21"/>
            </w:rPr>
            <w:fldChar w:fldCharType="end"/>
          </w:r>
        </w:p>
        <w:p w14:paraId="7C68575C">
          <w:pPr>
            <w:pStyle w:val="13"/>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_Toc6612 </w:instrText>
          </w:r>
          <w:r>
            <w:rPr>
              <w:rFonts w:hint="eastAsia" w:ascii="宋体" w:hAnsi="宋体" w:eastAsia="宋体" w:cs="宋体"/>
              <w:szCs w:val="21"/>
            </w:rPr>
            <w:fldChar w:fldCharType="separate"/>
          </w:r>
          <w:r>
            <w:rPr>
              <w:rFonts w:hint="default"/>
              <w:lang w:val="en-US" w:eastAsia="zh-CN"/>
            </w:rPr>
            <w:t>4.1.2. 管理评审</w:t>
          </w:r>
          <w:r>
            <w:tab/>
          </w:r>
          <w:r>
            <w:fldChar w:fldCharType="begin"/>
          </w:r>
          <w:r>
            <w:instrText xml:space="preserve"> PAGEREF _Toc6612 \h </w:instrText>
          </w:r>
          <w:r>
            <w:fldChar w:fldCharType="separate"/>
          </w:r>
          <w:r>
            <w:t>7</w:t>
          </w:r>
          <w:r>
            <w:fldChar w:fldCharType="end"/>
          </w:r>
          <w:r>
            <w:rPr>
              <w:rFonts w:hint="eastAsia" w:ascii="宋体" w:hAnsi="宋体" w:eastAsia="宋体" w:cs="宋体"/>
              <w:szCs w:val="21"/>
            </w:rPr>
            <w:fldChar w:fldCharType="end"/>
          </w:r>
        </w:p>
        <w:p w14:paraId="0ABA30C6">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_Toc2489 </w:instrText>
          </w:r>
          <w:r>
            <w:rPr>
              <w:rFonts w:hint="eastAsia" w:ascii="宋体" w:hAnsi="宋体" w:eastAsia="宋体" w:cs="宋体"/>
              <w:szCs w:val="21"/>
            </w:rPr>
            <w:fldChar w:fldCharType="separate"/>
          </w:r>
          <w:r>
            <w:rPr>
              <w:rFonts w:hint="default"/>
              <w:lang w:val="en-US" w:eastAsia="zh-CN"/>
            </w:rPr>
            <w:t>4.2. 服务质量过程控制</w:t>
          </w:r>
          <w:r>
            <w:tab/>
          </w:r>
          <w:r>
            <w:fldChar w:fldCharType="begin"/>
          </w:r>
          <w:r>
            <w:instrText xml:space="preserve"> PAGEREF _Toc2489 \h </w:instrText>
          </w:r>
          <w:r>
            <w:fldChar w:fldCharType="separate"/>
          </w:r>
          <w:r>
            <w:t>8</w:t>
          </w:r>
          <w:r>
            <w:fldChar w:fldCharType="end"/>
          </w:r>
          <w:r>
            <w:rPr>
              <w:rFonts w:hint="eastAsia" w:ascii="宋体" w:hAnsi="宋体" w:eastAsia="宋体" w:cs="宋体"/>
              <w:szCs w:val="21"/>
            </w:rPr>
            <w:fldChar w:fldCharType="end"/>
          </w:r>
        </w:p>
        <w:p w14:paraId="4288AE02">
          <w:pPr>
            <w:pStyle w:val="13"/>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_Toc28813 </w:instrText>
          </w:r>
          <w:r>
            <w:rPr>
              <w:rFonts w:hint="eastAsia" w:ascii="宋体" w:hAnsi="宋体" w:eastAsia="宋体" w:cs="宋体"/>
              <w:szCs w:val="21"/>
            </w:rPr>
            <w:fldChar w:fldCharType="separate"/>
          </w:r>
          <w:r>
            <w:rPr>
              <w:rFonts w:hint="default"/>
              <w:lang w:val="en-US" w:eastAsia="zh-CN"/>
            </w:rPr>
            <w:t>4.2.1. 服务</w:t>
          </w:r>
          <w:r>
            <w:rPr>
              <w:rFonts w:hint="eastAsia"/>
              <w:lang w:val="en-US" w:eastAsia="zh-CN"/>
            </w:rPr>
            <w:t>质量</w:t>
          </w:r>
          <w:r>
            <w:rPr>
              <w:rFonts w:hint="default"/>
              <w:lang w:val="en-US" w:eastAsia="zh-CN"/>
            </w:rPr>
            <w:t>交付控制</w:t>
          </w:r>
          <w:r>
            <w:tab/>
          </w:r>
          <w:r>
            <w:fldChar w:fldCharType="begin"/>
          </w:r>
          <w:r>
            <w:instrText xml:space="preserve"> PAGEREF _Toc28813 \h </w:instrText>
          </w:r>
          <w:r>
            <w:fldChar w:fldCharType="separate"/>
          </w:r>
          <w:r>
            <w:t>8</w:t>
          </w:r>
          <w:r>
            <w:fldChar w:fldCharType="end"/>
          </w:r>
          <w:r>
            <w:rPr>
              <w:rFonts w:hint="eastAsia" w:ascii="宋体" w:hAnsi="宋体" w:eastAsia="宋体" w:cs="宋体"/>
              <w:szCs w:val="21"/>
            </w:rPr>
            <w:fldChar w:fldCharType="end"/>
          </w:r>
        </w:p>
        <w:p w14:paraId="7EA09766">
          <w:pPr>
            <w:pStyle w:val="13"/>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_Toc29051 </w:instrText>
          </w:r>
          <w:r>
            <w:rPr>
              <w:rFonts w:hint="eastAsia" w:ascii="宋体" w:hAnsi="宋体" w:eastAsia="宋体" w:cs="宋体"/>
              <w:szCs w:val="21"/>
            </w:rPr>
            <w:fldChar w:fldCharType="separate"/>
          </w:r>
          <w:r>
            <w:rPr>
              <w:rFonts w:hint="default"/>
              <w:lang w:val="en-US" w:eastAsia="zh-CN"/>
            </w:rPr>
            <w:t>4.2.2. 服务质量度量与分析</w:t>
          </w:r>
          <w:r>
            <w:tab/>
          </w:r>
          <w:r>
            <w:fldChar w:fldCharType="begin"/>
          </w:r>
          <w:r>
            <w:instrText xml:space="preserve"> PAGEREF _Toc29051 \h </w:instrText>
          </w:r>
          <w:r>
            <w:fldChar w:fldCharType="separate"/>
          </w:r>
          <w:r>
            <w:t>8</w:t>
          </w:r>
          <w:r>
            <w:fldChar w:fldCharType="end"/>
          </w:r>
          <w:r>
            <w:rPr>
              <w:rFonts w:hint="eastAsia" w:ascii="宋体" w:hAnsi="宋体" w:eastAsia="宋体" w:cs="宋体"/>
              <w:szCs w:val="21"/>
            </w:rPr>
            <w:fldChar w:fldCharType="end"/>
          </w:r>
        </w:p>
        <w:p w14:paraId="34B62D9F">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_Toc926 </w:instrText>
          </w:r>
          <w:r>
            <w:rPr>
              <w:rFonts w:hint="eastAsia" w:ascii="宋体" w:hAnsi="宋体" w:eastAsia="宋体" w:cs="宋体"/>
              <w:szCs w:val="21"/>
            </w:rPr>
            <w:fldChar w:fldCharType="separate"/>
          </w:r>
          <w:r>
            <w:rPr>
              <w:rFonts w:hint="default"/>
              <w:lang w:val="en-US" w:eastAsia="zh-CN"/>
            </w:rPr>
            <w:t>4.3. 客户满意度管理</w:t>
          </w:r>
          <w:r>
            <w:tab/>
          </w:r>
          <w:r>
            <w:fldChar w:fldCharType="begin"/>
          </w:r>
          <w:r>
            <w:instrText xml:space="preserve"> PAGEREF _Toc926 \h </w:instrText>
          </w:r>
          <w:r>
            <w:fldChar w:fldCharType="separate"/>
          </w:r>
          <w:r>
            <w:t>8</w:t>
          </w:r>
          <w:r>
            <w:fldChar w:fldCharType="end"/>
          </w:r>
          <w:r>
            <w:rPr>
              <w:rFonts w:hint="eastAsia" w:ascii="宋体" w:hAnsi="宋体" w:eastAsia="宋体" w:cs="宋体"/>
              <w:szCs w:val="21"/>
            </w:rPr>
            <w:fldChar w:fldCharType="end"/>
          </w:r>
        </w:p>
        <w:p w14:paraId="6022D3E2">
          <w:pPr>
            <w:pStyle w:val="13"/>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_Toc11998 </w:instrText>
          </w:r>
          <w:r>
            <w:rPr>
              <w:rFonts w:hint="eastAsia" w:ascii="宋体" w:hAnsi="宋体" w:eastAsia="宋体" w:cs="宋体"/>
              <w:szCs w:val="21"/>
            </w:rPr>
            <w:fldChar w:fldCharType="separate"/>
          </w:r>
          <w:r>
            <w:rPr>
              <w:rFonts w:hint="default"/>
              <w:lang w:val="en-US" w:eastAsia="zh-CN"/>
            </w:rPr>
            <w:t>4.3.1. 多层级满意度调查</w:t>
          </w:r>
          <w:r>
            <w:tab/>
          </w:r>
          <w:r>
            <w:fldChar w:fldCharType="begin"/>
          </w:r>
          <w:r>
            <w:instrText xml:space="preserve"> PAGEREF _Toc11998 \h </w:instrText>
          </w:r>
          <w:r>
            <w:fldChar w:fldCharType="separate"/>
          </w:r>
          <w:r>
            <w:t>8</w:t>
          </w:r>
          <w:r>
            <w:fldChar w:fldCharType="end"/>
          </w:r>
          <w:r>
            <w:rPr>
              <w:rFonts w:hint="eastAsia" w:ascii="宋体" w:hAnsi="宋体" w:eastAsia="宋体" w:cs="宋体"/>
              <w:szCs w:val="21"/>
            </w:rPr>
            <w:fldChar w:fldCharType="end"/>
          </w:r>
        </w:p>
        <w:p w14:paraId="4E1E0FBE">
          <w:pPr>
            <w:pStyle w:val="13"/>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_Toc26326 </w:instrText>
          </w:r>
          <w:r>
            <w:rPr>
              <w:rFonts w:hint="eastAsia" w:ascii="宋体" w:hAnsi="宋体" w:eastAsia="宋体" w:cs="宋体"/>
              <w:szCs w:val="21"/>
            </w:rPr>
            <w:fldChar w:fldCharType="separate"/>
          </w:r>
          <w:r>
            <w:rPr>
              <w:rFonts w:hint="default"/>
              <w:lang w:val="en-US" w:eastAsia="zh-CN"/>
            </w:rPr>
            <w:t>4.3.2. 客户沟通与关系维护</w:t>
          </w:r>
          <w:r>
            <w:tab/>
          </w:r>
          <w:r>
            <w:fldChar w:fldCharType="begin"/>
          </w:r>
          <w:r>
            <w:instrText xml:space="preserve"> PAGEREF _Toc26326 \h </w:instrText>
          </w:r>
          <w:r>
            <w:fldChar w:fldCharType="separate"/>
          </w:r>
          <w:r>
            <w:t>8</w:t>
          </w:r>
          <w:r>
            <w:fldChar w:fldCharType="end"/>
          </w:r>
          <w:r>
            <w:rPr>
              <w:rFonts w:hint="eastAsia" w:ascii="宋体" w:hAnsi="宋体" w:eastAsia="宋体" w:cs="宋体"/>
              <w:szCs w:val="21"/>
            </w:rPr>
            <w:fldChar w:fldCharType="end"/>
          </w:r>
        </w:p>
        <w:p w14:paraId="47FF244D">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_Toc13750 </w:instrText>
          </w:r>
          <w:r>
            <w:rPr>
              <w:rFonts w:hint="eastAsia" w:ascii="宋体" w:hAnsi="宋体" w:eastAsia="宋体" w:cs="宋体"/>
              <w:szCs w:val="21"/>
            </w:rPr>
            <w:fldChar w:fldCharType="separate"/>
          </w:r>
          <w:r>
            <w:rPr>
              <w:rFonts w:hint="default"/>
              <w:lang w:val="en-US" w:eastAsia="zh-CN"/>
            </w:rPr>
            <w:t>4.4. 持续改进机制</w:t>
          </w:r>
          <w:r>
            <w:tab/>
          </w:r>
          <w:r>
            <w:fldChar w:fldCharType="begin"/>
          </w:r>
          <w:r>
            <w:instrText xml:space="preserve"> PAGEREF _Toc13750 \h </w:instrText>
          </w:r>
          <w:r>
            <w:fldChar w:fldCharType="separate"/>
          </w:r>
          <w:r>
            <w:t>9</w:t>
          </w:r>
          <w:r>
            <w:fldChar w:fldCharType="end"/>
          </w:r>
          <w:r>
            <w:rPr>
              <w:rFonts w:hint="eastAsia" w:ascii="宋体" w:hAnsi="宋体" w:eastAsia="宋体" w:cs="宋体"/>
              <w:szCs w:val="21"/>
            </w:rPr>
            <w:fldChar w:fldCharType="end"/>
          </w:r>
        </w:p>
        <w:p w14:paraId="76145672">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_Toc14575 </w:instrText>
          </w:r>
          <w:r>
            <w:rPr>
              <w:rFonts w:hint="eastAsia" w:ascii="宋体" w:hAnsi="宋体" w:eastAsia="宋体" w:cs="宋体"/>
              <w:szCs w:val="21"/>
            </w:rPr>
            <w:fldChar w:fldCharType="separate"/>
          </w:r>
          <w:r>
            <w:rPr>
              <w:rFonts w:hint="default" w:eastAsia="宋体"/>
              <w:lang w:val="en-US" w:eastAsia="zh-CN"/>
            </w:rPr>
            <w:t xml:space="preserve">5. </w:t>
          </w:r>
          <w:r>
            <w:rPr>
              <w:rFonts w:hint="eastAsia" w:eastAsia="宋体"/>
              <w:lang w:val="en-US" w:eastAsia="zh-CN"/>
            </w:rPr>
            <w:t>附则</w:t>
          </w:r>
          <w:r>
            <w:tab/>
          </w:r>
          <w:r>
            <w:fldChar w:fldCharType="begin"/>
          </w:r>
          <w:r>
            <w:instrText xml:space="preserve"> PAGEREF _Toc14575 \h </w:instrText>
          </w:r>
          <w:r>
            <w:fldChar w:fldCharType="separate"/>
          </w:r>
          <w:r>
            <w:t>10</w:t>
          </w:r>
          <w:r>
            <w:fldChar w:fldCharType="end"/>
          </w:r>
          <w:r>
            <w:rPr>
              <w:rFonts w:hint="eastAsia" w:ascii="宋体" w:hAnsi="宋体" w:eastAsia="宋体" w:cs="宋体"/>
              <w:szCs w:val="21"/>
            </w:rPr>
            <w:fldChar w:fldCharType="end"/>
          </w:r>
        </w:p>
        <w:p w14:paraId="0075A600">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_Toc8999 </w:instrText>
          </w:r>
          <w:r>
            <w:rPr>
              <w:rFonts w:hint="eastAsia" w:ascii="宋体" w:hAnsi="宋体" w:eastAsia="宋体" w:cs="宋体"/>
              <w:szCs w:val="21"/>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_Toc8999 \h </w:instrText>
          </w:r>
          <w:r>
            <w:fldChar w:fldCharType="separate"/>
          </w:r>
          <w:r>
            <w:t>10</w:t>
          </w:r>
          <w:r>
            <w:fldChar w:fldCharType="end"/>
          </w:r>
          <w:r>
            <w:rPr>
              <w:rFonts w:hint="eastAsia" w:ascii="宋体" w:hAnsi="宋体" w:eastAsia="宋体" w:cs="宋体"/>
              <w:szCs w:val="21"/>
            </w:rPr>
            <w:fldChar w:fldCharType="end"/>
          </w:r>
        </w:p>
        <w:p w14:paraId="3360F38C">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_Toc32392 </w:instrText>
          </w:r>
          <w:r>
            <w:rPr>
              <w:rFonts w:hint="eastAsia" w:ascii="宋体" w:hAnsi="宋体" w:eastAsia="宋体" w:cs="宋体"/>
              <w:szCs w:val="21"/>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_Toc32392 \h </w:instrText>
          </w:r>
          <w:r>
            <w:fldChar w:fldCharType="separate"/>
          </w:r>
          <w:r>
            <w:t>10</w:t>
          </w:r>
          <w:r>
            <w:fldChar w:fldCharType="end"/>
          </w:r>
          <w:r>
            <w:rPr>
              <w:rFonts w:hint="eastAsia" w:ascii="宋体" w:hAnsi="宋体" w:eastAsia="宋体" w:cs="宋体"/>
              <w:szCs w:val="21"/>
            </w:rPr>
            <w:fldChar w:fldCharType="end"/>
          </w:r>
        </w:p>
        <w:p w14:paraId="054EE6B2">
          <w:pPr>
            <w:keepNext w:val="0"/>
            <w:keepLines w:val="0"/>
            <w:pageBreakBefore w:val="0"/>
            <w:widowControl w:val="0"/>
            <w:kinsoku w:val="0"/>
            <w:wordWrap/>
            <w:overflowPunct/>
            <w:topLinePunct w:val="0"/>
            <w:autoSpaceDE w:val="0"/>
            <w:autoSpaceDN w:val="0"/>
            <w:bidi w:val="0"/>
            <w:adjustRightInd w:val="0"/>
            <w:snapToGrid w:val="0"/>
            <w:spacing w:line="336" w:lineRule="auto"/>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1"/>
            </w:rPr>
            <w:fldChar w:fldCharType="end"/>
          </w:r>
        </w:p>
      </w:sdtContent>
    </w:sdt>
    <w:p w14:paraId="4322F577">
      <w:r>
        <w:rPr>
          <w:rFonts w:hint="eastAsia"/>
          <w:lang w:val="en-US" w:eastAsia="zh-CN"/>
        </w:rPr>
        <w:br w:type="page"/>
      </w:r>
    </w:p>
    <w:p w14:paraId="6847F458">
      <w:pPr>
        <w:pStyle w:val="28"/>
        <w:keepNext w:val="0"/>
        <w:keepLines w:val="0"/>
        <w:pageBreakBefore w:val="0"/>
        <w:widowControl w:val="0"/>
        <w:kinsoku w:val="0"/>
        <w:wordWrap/>
        <w:overflowPunct/>
        <w:autoSpaceDE w:val="0"/>
        <w:autoSpaceDN w:val="0"/>
        <w:bidi w:val="0"/>
        <w:adjustRightInd w:val="0"/>
        <w:snapToGrid w:val="0"/>
        <w:textAlignment w:val="baseline"/>
      </w:pPr>
      <w:bookmarkStart w:id="2" w:name="_Toc10461"/>
      <w:r>
        <w:rPr>
          <w:rFonts w:hint="eastAsia"/>
          <w:lang w:val="en-US" w:eastAsia="zh-CN"/>
        </w:rPr>
        <w:t>总则</w:t>
      </w:r>
      <w:bookmarkEnd w:id="2"/>
    </w:p>
    <w:p w14:paraId="3CF6B128">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 w:name="_Toc22649"/>
      <w:r>
        <w:rPr>
          <w:rFonts w:hint="eastAsia"/>
          <w:lang w:val="en-US" w:eastAsia="zh-CN"/>
        </w:rPr>
        <w:t>目的</w:t>
      </w:r>
      <w:bookmarkEnd w:id="3"/>
    </w:p>
    <w:p w14:paraId="0BBCF14F">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为确保持续稳定地向客户提供高品质的信息技术运行维护服务，系统性地发现服务实施过程中的缺陷与改进机会，保障公司运维服务能力管理体系（以下称“体系”）的有效运行与持续改进，特制定本制度。</w:t>
      </w:r>
    </w:p>
    <w:p w14:paraId="117A3807">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10872"/>
      <w:r>
        <w:rPr>
          <w:rFonts w:hint="eastAsia"/>
          <w:lang w:val="en-US" w:eastAsia="zh-CN"/>
        </w:rPr>
        <w:t>适用范围</w:t>
      </w:r>
      <w:bookmarkEnd w:id="4"/>
    </w:p>
    <w:p w14:paraId="7D34A6A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本制度适用于重庆市鹧鸪哨信息技术有限责任公司运维服务能力管理体系所覆盖的所有部门及服务全过程，包括运维部、人力部、研发部、质量部、采购部等。</w:t>
      </w:r>
    </w:p>
    <w:p w14:paraId="26EBAD3D">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 w:name="_Toc1008"/>
      <w:r>
        <w:rPr>
          <w:rFonts w:hint="eastAsia"/>
          <w:lang w:val="en-US" w:eastAsia="zh-CN"/>
        </w:rPr>
        <w:t>原则</w:t>
      </w:r>
      <w:bookmarkEnd w:id="5"/>
    </w:p>
    <w:p w14:paraId="72D8ED24">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预防为主，持续改进：注重过程控制与事前预防，通过定期审计与监督，推动服务质量螺旋式上升。</w:t>
      </w:r>
    </w:p>
    <w:p w14:paraId="73EB19B6">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客观公正，数据决策：所有监督检查活动应以客观证据为基础，依据数据进行分析与决策。</w:t>
      </w:r>
    </w:p>
    <w:p w14:paraId="3BD8511A">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客户导向，聚焦价值：以确保并提升客户满意度为根本出发点，衡量与改进服务价值。</w:t>
      </w:r>
    </w:p>
    <w:p w14:paraId="5F882F61">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6" w:name="_Toc29530"/>
      <w:r>
        <w:rPr>
          <w:rFonts w:hint="eastAsia"/>
          <w:lang w:val="en-US" w:eastAsia="zh-CN"/>
        </w:rPr>
        <w:t>岗位职责</w:t>
      </w:r>
      <w:bookmarkEnd w:id="6"/>
    </w:p>
    <w:p w14:paraId="64F11020">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7" w:name="_Toc13082"/>
      <w:r>
        <w:rPr>
          <w:rFonts w:hint="default"/>
          <w:lang w:val="en-US" w:eastAsia="zh-CN"/>
        </w:rPr>
        <w:t>公司高层</w:t>
      </w:r>
      <w:bookmarkEnd w:id="7"/>
    </w:p>
    <w:p w14:paraId="34BF05C6">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审批年度运维服务能力管理计划；主持管理评审，确保体系的适应性与有效性。</w:t>
      </w:r>
    </w:p>
    <w:p w14:paraId="151BF663">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8" w:name="_Toc1432"/>
      <w:r>
        <w:rPr>
          <w:rFonts w:hint="default"/>
          <w:lang w:val="en-US" w:eastAsia="zh-CN"/>
        </w:rPr>
        <w:t>管理者代表</w:t>
      </w:r>
      <w:bookmarkEnd w:id="8"/>
    </w:p>
    <w:p w14:paraId="214F11F8">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协助高层进行管理评审；任命内审组长并组织内部审核；监控服务过程，审批重大改进。</w:t>
      </w:r>
    </w:p>
    <w:p w14:paraId="6F1541A8">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9" w:name="_Toc26065"/>
      <w:r>
        <w:rPr>
          <w:rFonts w:hint="default"/>
          <w:lang w:val="en-US" w:eastAsia="zh-CN"/>
        </w:rPr>
        <w:t>质量部</w:t>
      </w:r>
      <w:bookmarkEnd w:id="9"/>
    </w:p>
    <w:p w14:paraId="0E81A66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制定总体服务质量管理计划；组织内审、管理评审与客户满意度调查；监控服务质量，推动持续改进。</w:t>
      </w:r>
    </w:p>
    <w:p w14:paraId="7575200C">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0" w:name="_Toc22328"/>
      <w:r>
        <w:rPr>
          <w:rFonts w:hint="default"/>
          <w:lang w:val="en-US" w:eastAsia="zh-CN"/>
        </w:rPr>
        <w:t>运维部</w:t>
      </w:r>
      <w:bookmarkEnd w:id="10"/>
    </w:p>
    <w:p w14:paraId="3F18308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依据SLA及作业指导书实施运维服务；记录服务过程；针对不符合项制定并实施纠正与预防措施。</w:t>
      </w:r>
    </w:p>
    <w:p w14:paraId="0CE68B7D">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1" w:name="_Toc16701"/>
      <w:r>
        <w:rPr>
          <w:rFonts w:hint="default"/>
          <w:lang w:val="en-US" w:eastAsia="zh-CN"/>
        </w:rPr>
        <w:t>人力部</w:t>
      </w:r>
      <w:bookmarkEnd w:id="11"/>
    </w:p>
    <w:p w14:paraId="2971F22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确保提供满足能力要求的人力资源，组织相关培训。</w:t>
      </w:r>
    </w:p>
    <w:p w14:paraId="150FD71E">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2" w:name="_Toc11058"/>
      <w:r>
        <w:rPr>
          <w:rFonts w:hint="default"/>
          <w:lang w:val="en-US" w:eastAsia="zh-CN"/>
        </w:rPr>
        <w:t>采购部</w:t>
      </w:r>
      <w:bookmarkEnd w:id="12"/>
    </w:p>
    <w:p w14:paraId="1CA1AA5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确保备品备件供应的及时性与可用性。</w:t>
      </w:r>
    </w:p>
    <w:p w14:paraId="4D1EF5C0">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3" w:name="_Toc3379"/>
      <w:r>
        <w:rPr>
          <w:rFonts w:hint="eastAsia"/>
          <w:lang w:val="en-US" w:eastAsia="zh-CN"/>
        </w:rPr>
        <w:t>引用依据</w:t>
      </w:r>
      <w:bookmarkEnd w:id="13"/>
    </w:p>
    <w:p w14:paraId="45725039">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28827.1-2022 《信息技术服务 运行维护 第1部分：通用要求》</w:t>
      </w:r>
    </w:p>
    <w:p w14:paraId="575CD5AE">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28827.2-2012 《信息技术服务 运行维护 第2部分：交付规范》</w:t>
      </w:r>
    </w:p>
    <w:p w14:paraId="4E84F85B">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28827.3-2012 《信息技术服务 运行维护 第3部分：应急响应规范》</w:t>
      </w:r>
    </w:p>
    <w:p w14:paraId="7887F36F">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T/CESA 1299—2023 《信息技术服务 运行维护服务能力成熟度模型》</w:t>
      </w:r>
    </w:p>
    <w:p w14:paraId="778AA63F">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公司《2025年度运维服务能力管理计划》</w:t>
      </w:r>
    </w:p>
    <w:p w14:paraId="5EEDE85B">
      <w:pPr>
        <w:pStyle w:val="28"/>
        <w:keepNext w:val="0"/>
        <w:keepLines w:val="0"/>
        <w:pageBreakBefore w:val="0"/>
        <w:widowControl w:val="0"/>
        <w:kinsoku w:val="0"/>
        <w:wordWrap/>
        <w:overflowPunct/>
        <w:autoSpaceDE w:val="0"/>
        <w:autoSpaceDN w:val="0"/>
        <w:bidi w:val="0"/>
        <w:adjustRightInd w:val="0"/>
        <w:snapToGrid w:val="0"/>
        <w:textAlignment w:val="baseline"/>
      </w:pPr>
      <w:bookmarkStart w:id="14" w:name="_Toc32703"/>
      <w:r>
        <w:rPr>
          <w:rFonts w:hint="eastAsia"/>
          <w:lang w:val="en-US" w:eastAsia="zh-CN"/>
        </w:rPr>
        <w:t>定义与术语</w:t>
      </w:r>
      <w:bookmarkEnd w:id="14"/>
    </w:p>
    <w:p w14:paraId="45B61003">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5" w:name="_Toc13791"/>
      <w:r>
        <w:rPr>
          <w:rFonts w:hint="eastAsia"/>
        </w:rPr>
        <w:t>SLA</w:t>
      </w:r>
      <w:bookmarkEnd w:id="15"/>
    </w:p>
    <w:p w14:paraId="3D0171E8">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服务级别协议，界定运维服务范围、质量标准和双方责任的文件。</w:t>
      </w:r>
    </w:p>
    <w:p w14:paraId="73F9F96C">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6" w:name="_Toc9190"/>
      <w:r>
        <w:rPr>
          <w:rFonts w:hint="eastAsia"/>
        </w:rPr>
        <w:t>内部审核</w:t>
      </w:r>
      <w:bookmarkEnd w:id="16"/>
    </w:p>
    <w:p w14:paraId="197ABD48">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为获取证据并对其进行客观评价，以确定满足审核准则的程度所进行的系统的、独立的并形成文件的过程。</w:t>
      </w:r>
    </w:p>
    <w:p w14:paraId="7000B3B9">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7" w:name="_Toc15243"/>
      <w:r>
        <w:rPr>
          <w:rFonts w:hint="eastAsia"/>
        </w:rPr>
        <w:t>管理评审</w:t>
      </w:r>
      <w:bookmarkEnd w:id="17"/>
    </w:p>
    <w:p w14:paraId="74B8547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由最高管理者就质量方针和目标，对体系的适宜性、充分性和有效性进行的正式评价。</w:t>
      </w:r>
    </w:p>
    <w:p w14:paraId="55879058">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8" w:name="_Toc22178"/>
      <w:r>
        <w:rPr>
          <w:rFonts w:hint="eastAsia"/>
        </w:rPr>
        <w:t>不符合项</w:t>
      </w:r>
      <w:bookmarkEnd w:id="18"/>
    </w:p>
    <w:p w14:paraId="5624D071">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rPr>
        <w:t>未满足规范、标准或体系文件要求的情况。</w:t>
      </w:r>
    </w:p>
    <w:p w14:paraId="7D04078D">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9" w:name="_Toc2487"/>
      <w:r>
        <w:rPr>
          <w:rFonts w:hint="eastAsia"/>
          <w:lang w:val="en-US" w:eastAsia="zh-CN"/>
        </w:rPr>
        <w:t>管理内容与要求</w:t>
      </w:r>
      <w:bookmarkEnd w:id="19"/>
    </w:p>
    <w:p w14:paraId="134C32DF">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0" w:name="_Toc9247"/>
      <w:r>
        <w:rPr>
          <w:rFonts w:hint="default"/>
          <w:lang w:val="en-US" w:eastAsia="zh-CN"/>
        </w:rPr>
        <w:t>体系审核与评审管理</w:t>
      </w:r>
      <w:bookmarkEnd w:id="20"/>
    </w:p>
    <w:p w14:paraId="752CD0AD">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本部分是评价体系整体符合性与有效性的核心机制。</w:t>
      </w:r>
    </w:p>
    <w:p w14:paraId="41D1A6E4">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1" w:name="_Toc14306"/>
      <w:r>
        <w:rPr>
          <w:rFonts w:hint="default"/>
          <w:lang w:val="en-US" w:eastAsia="zh-CN"/>
        </w:rPr>
        <w:t>内部审核</w:t>
      </w:r>
      <w:bookmarkEnd w:id="21"/>
    </w:p>
    <w:p w14:paraId="081E17E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频次与计划：每年至少进行一次全覆盖内部审核，间隔不超过12个月。质量部负责于2025年1季度末前制定并提交《2025年度内部审核方案》，报管理者代表审批。</w:t>
      </w:r>
    </w:p>
    <w:p w14:paraId="5D56D75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审核范围与依据：审核应覆盖运维服务相关的所有部门与过程（人员、资源、技术、过程</w:t>
      </w:r>
      <w:r>
        <w:rPr>
          <w:rFonts w:hint="eastAsia"/>
          <w:lang w:val="en-US" w:eastAsia="zh-CN"/>
        </w:rPr>
        <w:t>、交付和应急</w:t>
      </w:r>
      <w:r>
        <w:rPr>
          <w:rFonts w:hint="default"/>
          <w:lang w:val="en-US" w:eastAsia="zh-CN"/>
        </w:rPr>
        <w:t>）。审核准则包括ITSS标准、公司体系文件及适用法律法规。</w:t>
      </w:r>
    </w:p>
    <w:p w14:paraId="6DFB2BD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实施：审核组需编制检查表，客观记录审核证据。审核结束后，出具《内部审核报告》，对发现的不符合项，责任部门需在5个工作日内分析原因并制定《纠正与预防措施报告》，由审核组跟踪验证直至关闭。</w:t>
      </w:r>
    </w:p>
    <w:p w14:paraId="60776801">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2" w:name="_Toc6612"/>
      <w:r>
        <w:rPr>
          <w:rFonts w:hint="default"/>
          <w:lang w:val="en-US" w:eastAsia="zh-CN"/>
        </w:rPr>
        <w:t>管理评审</w:t>
      </w:r>
      <w:bookmarkEnd w:id="22"/>
    </w:p>
    <w:p w14:paraId="2810145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频次与组织：每年至少进行一次，由公司高层主持，管理者代表组织，各部门负责人参加。</w:t>
      </w:r>
    </w:p>
    <w:p w14:paraId="70E3450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输入与输出：评审输入需包括：年度内审结果客户满意度分析、服务质量目标达成情况、纠正与预防措施状况</w:t>
      </w:r>
      <w:r>
        <w:rPr>
          <w:rFonts w:hint="eastAsia"/>
          <w:lang w:val="en-US" w:eastAsia="zh-CN"/>
        </w:rPr>
        <w:t>和</w:t>
      </w:r>
      <w:r>
        <w:rPr>
          <w:rFonts w:hint="default"/>
          <w:lang w:val="en-US" w:eastAsia="zh-CN"/>
        </w:rPr>
        <w:t>以往管理评审的跟踪措施等。评审输出应包括体系改进决策、资源需求变更及下一年度质量目标。</w:t>
      </w:r>
    </w:p>
    <w:p w14:paraId="2466FE55">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3" w:name="_Toc2489"/>
      <w:r>
        <w:rPr>
          <w:rFonts w:hint="default"/>
          <w:lang w:val="en-US" w:eastAsia="zh-CN"/>
        </w:rPr>
        <w:t>服务质量过程控制</w:t>
      </w:r>
      <w:bookmarkEnd w:id="23"/>
    </w:p>
    <w:p w14:paraId="78E68F0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本部分规定了在项目与服务交付层面确保质量的具体活动。</w:t>
      </w:r>
    </w:p>
    <w:p w14:paraId="63DD53CE">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4" w:name="_Toc28813"/>
      <w:r>
        <w:rPr>
          <w:rFonts w:hint="default"/>
          <w:lang w:val="en-US" w:eastAsia="zh-CN"/>
        </w:rPr>
        <w:t>服务</w:t>
      </w:r>
      <w:r>
        <w:rPr>
          <w:rFonts w:hint="eastAsia"/>
          <w:lang w:val="en-US" w:eastAsia="zh-CN"/>
        </w:rPr>
        <w:t>质量</w:t>
      </w:r>
      <w:r>
        <w:rPr>
          <w:rFonts w:hint="default"/>
          <w:lang w:val="en-US" w:eastAsia="zh-CN"/>
        </w:rPr>
        <w:t>交付控制</w:t>
      </w:r>
      <w:bookmarkEnd w:id="24"/>
    </w:p>
    <w:p w14:paraId="7098E316">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计划与准备：项目启动前，专业负责人需根据SLA要求制定《服务质量保证计划》，明确质量控制点与方法。</w:t>
      </w:r>
    </w:p>
    <w:p w14:paraId="354BB2F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过程执行与监控：运维人员须严格按作业指导书操作，实时记录服务过程。专业负责人对关键活动进行监督，确保符合SLA要求。</w:t>
      </w:r>
    </w:p>
    <w:p w14:paraId="7D8859B9">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5" w:name="_Toc29051"/>
      <w:r>
        <w:rPr>
          <w:rFonts w:hint="default"/>
          <w:lang w:val="en-US" w:eastAsia="zh-CN"/>
        </w:rPr>
        <w:t>服务质量度量与分析</w:t>
      </w:r>
      <w:bookmarkEnd w:id="25"/>
    </w:p>
    <w:p w14:paraId="251EE1E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数据收集：质量部牵头，协同运维部定义并收集关键绩效指标，如事件解决率、平均修复时间、SLA达成率等。</w:t>
      </w:r>
    </w:p>
    <w:p w14:paraId="5472240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定期分析：运维部部长每月组织召开质量分析会，基于数据形成《月度质量分析报告》，识别趋势性问题并启动改进。</w:t>
      </w:r>
    </w:p>
    <w:p w14:paraId="61770C53">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6" w:name="_Toc926"/>
      <w:r>
        <w:rPr>
          <w:rFonts w:hint="default"/>
          <w:lang w:val="en-US" w:eastAsia="zh-CN"/>
        </w:rPr>
        <w:t>客户满意度管理</w:t>
      </w:r>
      <w:bookmarkEnd w:id="26"/>
    </w:p>
    <w:p w14:paraId="4CEF573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客户反馈是衡量服务质量的重要标尺。</w:t>
      </w:r>
    </w:p>
    <w:p w14:paraId="438426B0">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7" w:name="_Toc11998"/>
      <w:r>
        <w:rPr>
          <w:rFonts w:hint="default"/>
          <w:lang w:val="en-US" w:eastAsia="zh-CN"/>
        </w:rPr>
        <w:t>多层级满意度调查</w:t>
      </w:r>
      <w:bookmarkEnd w:id="27"/>
    </w:p>
    <w:p w14:paraId="2F9BAC0A">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事件级回访：</w:t>
      </w:r>
      <w:r>
        <w:rPr>
          <w:rFonts w:hint="eastAsia"/>
          <w:lang w:val="en-US" w:eastAsia="zh-CN"/>
        </w:rPr>
        <w:t>服务台专员</w:t>
      </w:r>
      <w:r>
        <w:rPr>
          <w:rFonts w:hint="default"/>
          <w:lang w:val="en-US" w:eastAsia="zh-CN"/>
        </w:rPr>
        <w:t>在单个事件关闭后24小时内进行100%电话回访，记录单次服务满意度。</w:t>
      </w:r>
    </w:p>
    <w:p w14:paraId="0EC9EFCF">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项目级调查：专业负责人每月通过问卷等形式，对项目客户进行满意度调查。</w:t>
      </w:r>
    </w:p>
    <w:p w14:paraId="709DFF97">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公司级调查：质量部每年至少组织一次全面的客户满意度调查，确保样本覆盖所有主要客户和项目，并出具《年度客户满意度综合分析报告》。</w:t>
      </w:r>
    </w:p>
    <w:p w14:paraId="327A11FB">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8" w:name="_Toc26326"/>
      <w:r>
        <w:rPr>
          <w:rFonts w:hint="default"/>
          <w:lang w:val="en-US" w:eastAsia="zh-CN"/>
        </w:rPr>
        <w:t>客户沟通与关系维护</w:t>
      </w:r>
      <w:bookmarkEnd w:id="28"/>
    </w:p>
    <w:p w14:paraId="44ADA7E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运维部部长及以上人员应定期对重点客户进行拜访，直接获取高层次反馈，并记录于《客户拜访记录表》。</w:t>
      </w:r>
    </w:p>
    <w:p w14:paraId="1E1B9CA4">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9" w:name="_Toc13750"/>
      <w:r>
        <w:rPr>
          <w:rFonts w:hint="default"/>
          <w:lang w:val="en-US" w:eastAsia="zh-CN"/>
        </w:rPr>
        <w:t>持续改进机制</w:t>
      </w:r>
      <w:bookmarkEnd w:id="29"/>
    </w:p>
    <w:p w14:paraId="276391A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改进机会识别：改进机会应来源于内审/外审、管理评审、数据分析、客户投诉与建议等。</w:t>
      </w:r>
    </w:p>
    <w:p w14:paraId="2E2DF17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改进项目实施：对于确认的改进项，由责任部门制定改进计划，经审批后实施。质量部负责跟踪改进措施的实施效果，并将其纳入管理评审。</w:t>
      </w:r>
    </w:p>
    <w:p w14:paraId="0B32C9C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运维服务内容如表4-1所示</w:t>
      </w:r>
    </w:p>
    <w:p w14:paraId="207A7EDE">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w:instrText>
      </w:r>
      <w:r>
        <w:rPr>
          <w:rFonts w:hint="default"/>
          <w:lang w:val="en-US" w:eastAsia="zh-CN"/>
        </w:rPr>
        <w:instrText xml:space="preserve"> STYLEREF "柴_标题1" \n \* Charformat</w:instrText>
      </w:r>
      <w:r>
        <w:rPr>
          <w:rFonts w:hint="eastAsia"/>
          <w:lang w:val="en-US" w:eastAsia="zh-CN"/>
        </w:rPr>
        <w:instrText xml:space="preserve"> </w:instrText>
      </w:r>
      <w:r>
        <w:rPr>
          <w:rFonts w:hint="eastAsia"/>
          <w:lang w:val="en-US" w:eastAsia="zh-CN"/>
        </w:rPr>
        <w:fldChar w:fldCharType="separate"/>
      </w:r>
      <w:r>
        <w:rPr>
          <w:rFonts w:hint="default"/>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w:instrText>
      </w:r>
      <w:r>
        <w:rPr>
          <w:rFonts w:hint="default"/>
          <w:lang w:val="en-US" w:eastAsia="zh-CN"/>
        </w:rPr>
        <w:instrText xml:space="preserve">  SEQ 图表 \* ARABIC  \s 1</w:instrText>
      </w:r>
      <w:r>
        <w:rPr>
          <w:rFonts w:hint="eastAsia"/>
          <w:lang w:val="en-US" w:eastAsia="zh-CN"/>
        </w:rPr>
        <w:instrText xml:space="preserve"> </w:instrText>
      </w:r>
      <w:r>
        <w:rPr>
          <w:rFonts w:hint="eastAsia"/>
          <w:lang w:val="en-US" w:eastAsia="zh-CN"/>
        </w:rPr>
        <w:fldChar w:fldCharType="separate"/>
      </w:r>
      <w:r>
        <w:rPr>
          <w:rFonts w:hint="default"/>
          <w:lang w:val="en-US" w:eastAsia="zh-CN"/>
        </w:rPr>
        <w:t>1</w:t>
      </w:r>
      <w:r>
        <w:rPr>
          <w:rFonts w:hint="eastAsia"/>
          <w:lang w:val="en-US" w:eastAsia="zh-CN"/>
        </w:rPr>
        <w:fldChar w:fldCharType="end"/>
      </w:r>
      <w:r>
        <w:rPr>
          <w:rFonts w:hint="eastAsia"/>
          <w:lang w:val="en-US" w:eastAsia="zh-CN"/>
        </w:rPr>
        <w:t>运维服务内容表</w:t>
      </w:r>
    </w:p>
    <w:tbl>
      <w:tblPr>
        <w:tblStyle w:val="39"/>
        <w:tblW w:w="9306"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946"/>
        <w:gridCol w:w="2124"/>
        <w:gridCol w:w="1649"/>
        <w:gridCol w:w="1587"/>
      </w:tblGrid>
      <w:tr w14:paraId="75E8F5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45" w:hRule="atLeast"/>
        </w:trPr>
        <w:tc>
          <w:tcPr>
            <w:tcW w:w="3946" w:type="dxa"/>
          </w:tcPr>
          <w:p w14:paraId="37D821F5">
            <w:pPr>
              <w:keepNext w:val="0"/>
              <w:keepLines w:val="0"/>
              <w:pageBreakBefore w:val="0"/>
              <w:widowControl w:val="0"/>
              <w:kinsoku w:val="0"/>
              <w:wordWrap/>
              <w:overflowPunct/>
              <w:autoSpaceDE w:val="0"/>
              <w:autoSpaceDN w:val="0"/>
              <w:bidi w:val="0"/>
              <w:adjustRightInd w:val="0"/>
              <w:snapToGrid w:val="0"/>
              <w:spacing w:before="78" w:line="220" w:lineRule="auto"/>
              <w:ind w:left="1253"/>
              <w:textAlignment w:val="baseline"/>
              <w:rPr>
                <w:rFonts w:ascii="宋体" w:hAnsi="宋体" w:eastAsia="宋体" w:cs="宋体"/>
                <w:sz w:val="24"/>
                <w:szCs w:val="24"/>
              </w:rPr>
            </w:pPr>
            <w:r>
              <w:rPr>
                <w:rFonts w:ascii="宋体" w:hAnsi="宋体" w:eastAsia="宋体" w:cs="宋体"/>
                <w:b/>
                <w:bCs/>
                <w:spacing w:val="-4"/>
                <w:sz w:val="24"/>
                <w:szCs w:val="24"/>
              </w:rPr>
              <w:t>运维服务内容</w:t>
            </w:r>
          </w:p>
        </w:tc>
        <w:tc>
          <w:tcPr>
            <w:tcW w:w="2124" w:type="dxa"/>
          </w:tcPr>
          <w:p w14:paraId="1BC93A52">
            <w:pPr>
              <w:keepNext w:val="0"/>
              <w:keepLines w:val="0"/>
              <w:pageBreakBefore w:val="0"/>
              <w:widowControl w:val="0"/>
              <w:kinsoku w:val="0"/>
              <w:wordWrap/>
              <w:overflowPunct/>
              <w:autoSpaceDE w:val="0"/>
              <w:autoSpaceDN w:val="0"/>
              <w:bidi w:val="0"/>
              <w:adjustRightInd w:val="0"/>
              <w:snapToGrid w:val="0"/>
              <w:spacing w:before="78" w:line="220" w:lineRule="auto"/>
              <w:ind w:left="582"/>
              <w:textAlignment w:val="baseline"/>
              <w:rPr>
                <w:rFonts w:ascii="宋体" w:hAnsi="宋体" w:eastAsia="宋体" w:cs="宋体"/>
                <w:sz w:val="24"/>
                <w:szCs w:val="24"/>
              </w:rPr>
            </w:pPr>
            <w:r>
              <w:rPr>
                <w:rFonts w:ascii="宋体" w:hAnsi="宋体" w:eastAsia="宋体" w:cs="宋体"/>
                <w:b/>
                <w:bCs/>
                <w:spacing w:val="-4"/>
                <w:sz w:val="24"/>
                <w:szCs w:val="24"/>
              </w:rPr>
              <w:t>跟踪时间</w:t>
            </w:r>
          </w:p>
        </w:tc>
        <w:tc>
          <w:tcPr>
            <w:tcW w:w="1649" w:type="dxa"/>
          </w:tcPr>
          <w:p w14:paraId="0A3D3E2F">
            <w:pPr>
              <w:keepNext w:val="0"/>
              <w:keepLines w:val="0"/>
              <w:pageBreakBefore w:val="0"/>
              <w:widowControl w:val="0"/>
              <w:kinsoku w:val="0"/>
              <w:wordWrap/>
              <w:overflowPunct/>
              <w:autoSpaceDE w:val="0"/>
              <w:autoSpaceDN w:val="0"/>
              <w:bidi w:val="0"/>
              <w:adjustRightInd w:val="0"/>
              <w:snapToGrid w:val="0"/>
              <w:spacing w:before="78" w:line="220" w:lineRule="auto"/>
              <w:ind w:left="471"/>
              <w:textAlignment w:val="baseline"/>
              <w:rPr>
                <w:rFonts w:ascii="宋体" w:hAnsi="宋体" w:eastAsia="宋体" w:cs="宋体"/>
                <w:sz w:val="24"/>
                <w:szCs w:val="24"/>
              </w:rPr>
            </w:pPr>
            <w:r>
              <w:rPr>
                <w:rFonts w:ascii="宋体" w:hAnsi="宋体" w:eastAsia="宋体" w:cs="宋体"/>
                <w:b/>
                <w:bCs/>
                <w:spacing w:val="-6"/>
                <w:sz w:val="24"/>
                <w:szCs w:val="24"/>
              </w:rPr>
              <w:t>成果物</w:t>
            </w:r>
          </w:p>
        </w:tc>
        <w:tc>
          <w:tcPr>
            <w:tcW w:w="1587" w:type="dxa"/>
          </w:tcPr>
          <w:p w14:paraId="1D955D29">
            <w:pPr>
              <w:keepNext w:val="0"/>
              <w:keepLines w:val="0"/>
              <w:pageBreakBefore w:val="0"/>
              <w:widowControl w:val="0"/>
              <w:kinsoku w:val="0"/>
              <w:wordWrap/>
              <w:overflowPunct/>
              <w:autoSpaceDE w:val="0"/>
              <w:autoSpaceDN w:val="0"/>
              <w:bidi w:val="0"/>
              <w:adjustRightInd w:val="0"/>
              <w:snapToGrid w:val="0"/>
              <w:spacing w:before="78" w:line="220" w:lineRule="auto"/>
              <w:ind w:left="137"/>
              <w:textAlignment w:val="baseline"/>
              <w:rPr>
                <w:rFonts w:ascii="宋体" w:hAnsi="宋体" w:eastAsia="宋体" w:cs="宋体"/>
                <w:sz w:val="24"/>
                <w:szCs w:val="24"/>
              </w:rPr>
            </w:pPr>
            <w:r>
              <w:rPr>
                <w:rFonts w:ascii="宋体" w:hAnsi="宋体" w:eastAsia="宋体" w:cs="宋体"/>
                <w:b/>
                <w:bCs/>
                <w:spacing w:val="-4"/>
                <w:sz w:val="24"/>
                <w:szCs w:val="24"/>
              </w:rPr>
              <w:t>提交人/部门</w:t>
            </w:r>
          </w:p>
        </w:tc>
      </w:tr>
      <w:tr w14:paraId="56FA9E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3" w:hRule="atLeast"/>
        </w:trPr>
        <w:tc>
          <w:tcPr>
            <w:tcW w:w="3946" w:type="dxa"/>
            <w:vAlign w:val="center"/>
          </w:tcPr>
          <w:p w14:paraId="1E9033C1">
            <w:pPr>
              <w:keepNext w:val="0"/>
              <w:keepLines w:val="0"/>
              <w:pageBreakBefore w:val="0"/>
              <w:widowControl w:val="0"/>
              <w:kinsoku w:val="0"/>
              <w:wordWrap/>
              <w:overflowPunct/>
              <w:autoSpaceDE w:val="0"/>
              <w:autoSpaceDN w:val="0"/>
              <w:bidi w:val="0"/>
              <w:adjustRightInd w:val="0"/>
              <w:snapToGrid w:val="0"/>
              <w:spacing w:before="113" w:line="328" w:lineRule="auto"/>
              <w:ind w:left="117" w:right="104" w:hanging="5"/>
              <w:textAlignment w:val="baseline"/>
              <w:rPr>
                <w:rFonts w:ascii="宋体" w:hAnsi="宋体" w:eastAsia="宋体" w:cs="宋体"/>
                <w:sz w:val="24"/>
                <w:szCs w:val="24"/>
              </w:rPr>
            </w:pPr>
            <w:r>
              <w:rPr>
                <w:rFonts w:ascii="宋体" w:hAnsi="宋体" w:eastAsia="宋体" w:cs="宋体"/>
                <w:spacing w:val="-1"/>
                <w:sz w:val="24"/>
                <w:szCs w:val="24"/>
              </w:rPr>
              <w:t>每月对运维业务开展情况以及过程</w:t>
            </w:r>
            <w:r>
              <w:rPr>
                <w:rFonts w:ascii="宋体" w:hAnsi="宋体" w:eastAsia="宋体" w:cs="宋体"/>
                <w:spacing w:val="-8"/>
                <w:sz w:val="24"/>
                <w:szCs w:val="24"/>
              </w:rPr>
              <w:t>管理情况重点工作进行总结，并形成</w:t>
            </w:r>
            <w:r>
              <w:rPr>
                <w:rFonts w:ascii="宋体" w:hAnsi="宋体" w:eastAsia="宋体" w:cs="宋体"/>
                <w:spacing w:val="-7"/>
                <w:sz w:val="24"/>
                <w:szCs w:val="24"/>
              </w:rPr>
              <w:t>月服务报告。</w:t>
            </w:r>
          </w:p>
        </w:tc>
        <w:tc>
          <w:tcPr>
            <w:tcW w:w="2124" w:type="dxa"/>
            <w:vAlign w:val="center"/>
          </w:tcPr>
          <w:p w14:paraId="203832E8">
            <w:pPr>
              <w:keepNext w:val="0"/>
              <w:keepLines w:val="0"/>
              <w:pageBreakBefore w:val="0"/>
              <w:widowControl w:val="0"/>
              <w:kinsoku w:val="0"/>
              <w:wordWrap/>
              <w:overflowPunct/>
              <w:autoSpaceDE w:val="0"/>
              <w:autoSpaceDN w:val="0"/>
              <w:bidi w:val="0"/>
              <w:adjustRightInd w:val="0"/>
              <w:snapToGrid w:val="0"/>
              <w:spacing w:before="78" w:line="220" w:lineRule="auto"/>
              <w:ind w:left="586"/>
              <w:textAlignment w:val="baseline"/>
              <w:rPr>
                <w:rFonts w:ascii="宋体" w:hAnsi="宋体" w:eastAsia="宋体" w:cs="宋体"/>
                <w:sz w:val="24"/>
                <w:szCs w:val="24"/>
              </w:rPr>
            </w:pPr>
            <w:r>
              <w:rPr>
                <w:rFonts w:ascii="宋体" w:hAnsi="宋体" w:eastAsia="宋体" w:cs="宋体"/>
                <w:spacing w:val="-2"/>
                <w:sz w:val="24"/>
                <w:szCs w:val="24"/>
              </w:rPr>
              <w:t>每月月初</w:t>
            </w:r>
          </w:p>
        </w:tc>
        <w:tc>
          <w:tcPr>
            <w:tcW w:w="1649" w:type="dxa"/>
            <w:vAlign w:val="center"/>
          </w:tcPr>
          <w:p w14:paraId="076C4AE5">
            <w:pPr>
              <w:keepNext w:val="0"/>
              <w:keepLines w:val="0"/>
              <w:pageBreakBefore w:val="0"/>
              <w:widowControl w:val="0"/>
              <w:kinsoku w:val="0"/>
              <w:wordWrap/>
              <w:overflowPunct/>
              <w:autoSpaceDE w:val="0"/>
              <w:autoSpaceDN w:val="0"/>
              <w:bidi w:val="0"/>
              <w:adjustRightInd w:val="0"/>
              <w:snapToGrid w:val="0"/>
              <w:spacing w:before="78" w:line="218" w:lineRule="auto"/>
              <w:ind w:left="236"/>
              <w:textAlignment w:val="baseline"/>
              <w:rPr>
                <w:rFonts w:ascii="宋体" w:hAnsi="宋体" w:eastAsia="宋体" w:cs="宋体"/>
                <w:sz w:val="24"/>
                <w:szCs w:val="24"/>
              </w:rPr>
            </w:pPr>
            <w:r>
              <w:rPr>
                <w:rFonts w:ascii="宋体" w:hAnsi="宋体" w:eastAsia="宋体" w:cs="宋体"/>
                <w:spacing w:val="-3"/>
                <w:sz w:val="24"/>
                <w:szCs w:val="24"/>
              </w:rPr>
              <w:t>月服务报告</w:t>
            </w:r>
          </w:p>
        </w:tc>
        <w:tc>
          <w:tcPr>
            <w:tcW w:w="1587" w:type="dxa"/>
            <w:vAlign w:val="center"/>
          </w:tcPr>
          <w:p w14:paraId="04F8EF19">
            <w:pPr>
              <w:keepNext w:val="0"/>
              <w:keepLines w:val="0"/>
              <w:pageBreakBefore w:val="0"/>
              <w:widowControl w:val="0"/>
              <w:kinsoku w:val="0"/>
              <w:wordWrap/>
              <w:overflowPunct/>
              <w:autoSpaceDE w:val="0"/>
              <w:autoSpaceDN w:val="0"/>
              <w:bidi w:val="0"/>
              <w:adjustRightInd w:val="0"/>
              <w:snapToGrid w:val="0"/>
              <w:spacing w:before="78" w:line="220" w:lineRule="auto"/>
              <w:ind w:left="200"/>
              <w:textAlignment w:val="baseline"/>
              <w:rPr>
                <w:rFonts w:hint="eastAsia" w:ascii="宋体" w:hAnsi="宋体" w:eastAsia="宋体" w:cs="宋体"/>
                <w:sz w:val="24"/>
                <w:szCs w:val="24"/>
                <w:lang w:eastAsia="zh-CN"/>
              </w:rPr>
            </w:pPr>
            <w:r>
              <w:rPr>
                <w:rFonts w:hint="eastAsia" w:ascii="宋体" w:hAnsi="宋体" w:eastAsia="宋体" w:cs="宋体"/>
                <w:spacing w:val="-2"/>
                <w:sz w:val="24"/>
                <w:szCs w:val="24"/>
                <w:lang w:val="en-US" w:eastAsia="zh-CN"/>
              </w:rPr>
              <w:t>运维部</w:t>
            </w:r>
          </w:p>
        </w:tc>
      </w:tr>
      <w:tr w14:paraId="6613E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3" w:hRule="atLeast"/>
        </w:trPr>
        <w:tc>
          <w:tcPr>
            <w:tcW w:w="3946" w:type="dxa"/>
            <w:vAlign w:val="center"/>
          </w:tcPr>
          <w:p w14:paraId="4115207F">
            <w:pPr>
              <w:keepNext w:val="0"/>
              <w:keepLines w:val="0"/>
              <w:pageBreakBefore w:val="0"/>
              <w:widowControl w:val="0"/>
              <w:kinsoku w:val="0"/>
              <w:wordWrap/>
              <w:overflowPunct/>
              <w:autoSpaceDE w:val="0"/>
              <w:autoSpaceDN w:val="0"/>
              <w:bidi w:val="0"/>
              <w:adjustRightInd w:val="0"/>
              <w:snapToGrid w:val="0"/>
              <w:spacing w:before="113" w:line="328" w:lineRule="auto"/>
              <w:ind w:left="112" w:right="103"/>
              <w:textAlignment w:val="baseline"/>
              <w:rPr>
                <w:rFonts w:ascii="宋体" w:hAnsi="宋体" w:eastAsia="宋体" w:cs="宋体"/>
                <w:sz w:val="24"/>
                <w:szCs w:val="24"/>
              </w:rPr>
            </w:pPr>
            <w:r>
              <w:rPr>
                <w:rFonts w:ascii="宋体" w:hAnsi="宋体" w:eastAsia="宋体" w:cs="宋体"/>
                <w:spacing w:val="-1"/>
                <w:sz w:val="24"/>
                <w:szCs w:val="24"/>
              </w:rPr>
              <w:t>每月对年度运维管理计划中规划的</w:t>
            </w:r>
            <w:r>
              <w:rPr>
                <w:rFonts w:ascii="宋体" w:hAnsi="宋体" w:eastAsia="宋体" w:cs="宋体"/>
                <w:spacing w:val="-8"/>
                <w:sz w:val="24"/>
                <w:szCs w:val="24"/>
              </w:rPr>
              <w:t>活动进行检查，对于运维项目规范性</w:t>
            </w:r>
            <w:r>
              <w:rPr>
                <w:rFonts w:ascii="宋体" w:hAnsi="宋体" w:eastAsia="宋体" w:cs="宋体"/>
                <w:spacing w:val="-1"/>
                <w:sz w:val="24"/>
                <w:szCs w:val="24"/>
              </w:rPr>
              <w:t>执行方面，每月进行抽查</w:t>
            </w:r>
          </w:p>
        </w:tc>
        <w:tc>
          <w:tcPr>
            <w:tcW w:w="2124" w:type="dxa"/>
            <w:vAlign w:val="center"/>
          </w:tcPr>
          <w:p w14:paraId="40E7569F">
            <w:pPr>
              <w:keepNext w:val="0"/>
              <w:keepLines w:val="0"/>
              <w:pageBreakBefore w:val="0"/>
              <w:widowControl w:val="0"/>
              <w:kinsoku w:val="0"/>
              <w:wordWrap/>
              <w:overflowPunct/>
              <w:autoSpaceDE w:val="0"/>
              <w:autoSpaceDN w:val="0"/>
              <w:bidi w:val="0"/>
              <w:adjustRightInd w:val="0"/>
              <w:snapToGrid w:val="0"/>
              <w:spacing w:before="78" w:line="220" w:lineRule="auto"/>
              <w:ind w:left="832"/>
              <w:textAlignment w:val="baseline"/>
              <w:rPr>
                <w:rFonts w:ascii="宋体" w:hAnsi="宋体" w:eastAsia="宋体" w:cs="宋体"/>
                <w:sz w:val="24"/>
                <w:szCs w:val="24"/>
              </w:rPr>
            </w:pPr>
            <w:r>
              <w:rPr>
                <w:rFonts w:ascii="宋体" w:hAnsi="宋体" w:eastAsia="宋体" w:cs="宋体"/>
                <w:spacing w:val="-4"/>
                <w:sz w:val="24"/>
                <w:szCs w:val="24"/>
              </w:rPr>
              <w:t>月底</w:t>
            </w:r>
          </w:p>
        </w:tc>
        <w:tc>
          <w:tcPr>
            <w:tcW w:w="1649" w:type="dxa"/>
            <w:vAlign w:val="center"/>
          </w:tcPr>
          <w:p w14:paraId="13970D61">
            <w:pPr>
              <w:keepNext w:val="0"/>
              <w:keepLines w:val="0"/>
              <w:pageBreakBefore w:val="0"/>
              <w:widowControl w:val="0"/>
              <w:kinsoku w:val="0"/>
              <w:wordWrap/>
              <w:overflowPunct/>
              <w:autoSpaceDE w:val="0"/>
              <w:autoSpaceDN w:val="0"/>
              <w:bidi w:val="0"/>
              <w:adjustRightInd w:val="0"/>
              <w:snapToGrid w:val="0"/>
              <w:spacing w:before="112" w:line="220" w:lineRule="auto"/>
              <w:ind w:left="230"/>
              <w:textAlignment w:val="baseline"/>
              <w:rPr>
                <w:rFonts w:ascii="宋体" w:hAnsi="宋体" w:eastAsia="宋体" w:cs="宋体"/>
                <w:sz w:val="24"/>
                <w:szCs w:val="24"/>
              </w:rPr>
            </w:pPr>
            <w:r>
              <w:rPr>
                <w:rFonts w:ascii="宋体" w:hAnsi="宋体" w:eastAsia="宋体" w:cs="宋体"/>
                <w:spacing w:val="-2"/>
                <w:sz w:val="24"/>
                <w:szCs w:val="24"/>
              </w:rPr>
              <w:t>运维项目管</w:t>
            </w:r>
            <w:r>
              <w:rPr>
                <w:rFonts w:ascii="宋体" w:hAnsi="宋体" w:eastAsia="宋体" w:cs="宋体"/>
                <w:spacing w:val="-3"/>
                <w:sz w:val="24"/>
                <w:szCs w:val="24"/>
              </w:rPr>
              <w:t>理计划跟踪</w:t>
            </w:r>
            <w:r>
              <w:rPr>
                <w:rFonts w:ascii="宋体" w:hAnsi="宋体" w:eastAsia="宋体" w:cs="宋体"/>
                <w:sz w:val="24"/>
                <w:szCs w:val="24"/>
              </w:rPr>
              <w:t>表</w:t>
            </w:r>
          </w:p>
        </w:tc>
        <w:tc>
          <w:tcPr>
            <w:tcW w:w="1587" w:type="dxa"/>
            <w:vAlign w:val="center"/>
          </w:tcPr>
          <w:p w14:paraId="312A2399">
            <w:pPr>
              <w:keepNext w:val="0"/>
              <w:keepLines w:val="0"/>
              <w:pageBreakBefore w:val="0"/>
              <w:widowControl w:val="0"/>
              <w:kinsoku w:val="0"/>
              <w:wordWrap/>
              <w:overflowPunct/>
              <w:autoSpaceDE w:val="0"/>
              <w:autoSpaceDN w:val="0"/>
              <w:bidi w:val="0"/>
              <w:adjustRightInd w:val="0"/>
              <w:snapToGrid w:val="0"/>
              <w:spacing w:before="78" w:line="220" w:lineRule="auto"/>
              <w:ind w:left="200"/>
              <w:textAlignment w:val="baseline"/>
              <w:rPr>
                <w:rFonts w:ascii="宋体" w:hAnsi="宋体" w:eastAsia="宋体" w:cs="宋体"/>
                <w:sz w:val="24"/>
                <w:szCs w:val="24"/>
              </w:rPr>
            </w:pPr>
            <w:r>
              <w:rPr>
                <w:rFonts w:hint="eastAsia" w:ascii="宋体" w:hAnsi="宋体" w:eastAsia="宋体" w:cs="宋体"/>
                <w:spacing w:val="-2"/>
                <w:sz w:val="24"/>
                <w:szCs w:val="24"/>
                <w:lang w:val="en-US" w:eastAsia="zh-CN"/>
              </w:rPr>
              <w:t>运维部</w:t>
            </w:r>
          </w:p>
        </w:tc>
      </w:tr>
      <w:tr w14:paraId="0EF4F0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17" w:hRule="atLeast"/>
        </w:trPr>
        <w:tc>
          <w:tcPr>
            <w:tcW w:w="3946" w:type="dxa"/>
            <w:vAlign w:val="center"/>
          </w:tcPr>
          <w:p w14:paraId="416C0707">
            <w:pPr>
              <w:keepNext w:val="0"/>
              <w:keepLines w:val="0"/>
              <w:pageBreakBefore w:val="0"/>
              <w:widowControl w:val="0"/>
              <w:kinsoku w:val="0"/>
              <w:wordWrap/>
              <w:overflowPunct/>
              <w:autoSpaceDE w:val="0"/>
              <w:autoSpaceDN w:val="0"/>
              <w:bidi w:val="0"/>
              <w:adjustRightInd w:val="0"/>
              <w:snapToGrid w:val="0"/>
              <w:spacing w:before="238" w:line="220" w:lineRule="auto"/>
              <w:ind w:left="112"/>
              <w:textAlignment w:val="baseline"/>
              <w:rPr>
                <w:rFonts w:ascii="宋体" w:hAnsi="宋体" w:eastAsia="宋体" w:cs="宋体"/>
                <w:sz w:val="24"/>
                <w:szCs w:val="24"/>
              </w:rPr>
            </w:pPr>
            <w:r>
              <w:rPr>
                <w:rFonts w:ascii="宋体" w:hAnsi="宋体" w:eastAsia="宋体" w:cs="宋体"/>
                <w:spacing w:val="-2"/>
                <w:sz w:val="24"/>
                <w:szCs w:val="24"/>
              </w:rPr>
              <w:t>每季度收集运维</w:t>
            </w:r>
            <w:r>
              <w:rPr>
                <w:rFonts w:ascii="宋体" w:hAnsi="宋体" w:eastAsia="宋体" w:cs="宋体"/>
                <w:spacing w:val="-53"/>
                <w:sz w:val="24"/>
                <w:szCs w:val="24"/>
              </w:rPr>
              <w:t xml:space="preserve"> </w:t>
            </w:r>
            <w:r>
              <w:rPr>
                <w:rFonts w:ascii="宋体" w:hAnsi="宋体" w:eastAsia="宋体" w:cs="宋体"/>
                <w:spacing w:val="-2"/>
                <w:sz w:val="24"/>
                <w:szCs w:val="24"/>
              </w:rPr>
              <w:t>KPI</w:t>
            </w:r>
            <w:r>
              <w:rPr>
                <w:rFonts w:ascii="宋体" w:hAnsi="宋体" w:eastAsia="宋体" w:cs="宋体"/>
                <w:spacing w:val="-48"/>
                <w:sz w:val="24"/>
                <w:szCs w:val="24"/>
              </w:rPr>
              <w:t xml:space="preserve"> </w:t>
            </w:r>
            <w:r>
              <w:rPr>
                <w:rFonts w:ascii="宋体" w:hAnsi="宋体" w:eastAsia="宋体" w:cs="宋体"/>
                <w:spacing w:val="-2"/>
                <w:sz w:val="24"/>
                <w:szCs w:val="24"/>
              </w:rPr>
              <w:t>数据</w:t>
            </w:r>
          </w:p>
        </w:tc>
        <w:tc>
          <w:tcPr>
            <w:tcW w:w="2124" w:type="dxa"/>
            <w:vAlign w:val="center"/>
          </w:tcPr>
          <w:p w14:paraId="246AC658">
            <w:pPr>
              <w:keepNext w:val="0"/>
              <w:keepLines w:val="0"/>
              <w:pageBreakBefore w:val="0"/>
              <w:widowControl w:val="0"/>
              <w:kinsoku w:val="0"/>
              <w:wordWrap/>
              <w:overflowPunct/>
              <w:autoSpaceDE w:val="0"/>
              <w:autoSpaceDN w:val="0"/>
              <w:bidi w:val="0"/>
              <w:adjustRightInd w:val="0"/>
              <w:snapToGrid w:val="0"/>
              <w:spacing w:before="238" w:line="220" w:lineRule="auto"/>
              <w:ind w:left="706"/>
              <w:textAlignment w:val="baseline"/>
              <w:rPr>
                <w:rFonts w:ascii="宋体" w:hAnsi="宋体" w:eastAsia="宋体" w:cs="宋体"/>
                <w:sz w:val="24"/>
                <w:szCs w:val="24"/>
              </w:rPr>
            </w:pPr>
            <w:r>
              <w:rPr>
                <w:rFonts w:ascii="宋体" w:hAnsi="宋体" w:eastAsia="宋体" w:cs="宋体"/>
                <w:spacing w:val="-3"/>
                <w:sz w:val="24"/>
                <w:szCs w:val="24"/>
              </w:rPr>
              <w:t>每季度</w:t>
            </w:r>
          </w:p>
        </w:tc>
        <w:tc>
          <w:tcPr>
            <w:tcW w:w="1649" w:type="dxa"/>
            <w:vAlign w:val="center"/>
          </w:tcPr>
          <w:p w14:paraId="2B2A2442">
            <w:pPr>
              <w:keepNext w:val="0"/>
              <w:keepLines w:val="0"/>
              <w:pageBreakBefore w:val="0"/>
              <w:widowControl w:val="0"/>
              <w:kinsoku w:val="0"/>
              <w:wordWrap/>
              <w:overflowPunct/>
              <w:autoSpaceDE w:val="0"/>
              <w:autoSpaceDN w:val="0"/>
              <w:bidi w:val="0"/>
              <w:adjustRightInd w:val="0"/>
              <w:snapToGrid w:val="0"/>
              <w:spacing w:before="238" w:line="220" w:lineRule="auto"/>
              <w:ind w:left="137"/>
              <w:textAlignment w:val="baseline"/>
              <w:rPr>
                <w:rFonts w:ascii="宋体" w:hAnsi="宋体" w:eastAsia="宋体" w:cs="宋体"/>
                <w:sz w:val="24"/>
                <w:szCs w:val="24"/>
              </w:rPr>
            </w:pPr>
            <w:r>
              <w:rPr>
                <w:rFonts w:ascii="宋体" w:hAnsi="宋体" w:eastAsia="宋体" w:cs="宋体"/>
                <w:spacing w:val="-2"/>
                <w:sz w:val="24"/>
                <w:szCs w:val="24"/>
              </w:rPr>
              <w:t>KPI</w:t>
            </w:r>
            <w:r>
              <w:rPr>
                <w:rFonts w:ascii="宋体" w:hAnsi="宋体" w:eastAsia="宋体" w:cs="宋体"/>
                <w:spacing w:val="-49"/>
                <w:sz w:val="24"/>
                <w:szCs w:val="24"/>
              </w:rPr>
              <w:t xml:space="preserve"> </w:t>
            </w:r>
            <w:r>
              <w:rPr>
                <w:rFonts w:ascii="宋体" w:hAnsi="宋体" w:eastAsia="宋体" w:cs="宋体"/>
                <w:spacing w:val="-2"/>
                <w:sz w:val="24"/>
                <w:szCs w:val="24"/>
              </w:rPr>
              <w:t>完成记录</w:t>
            </w:r>
          </w:p>
        </w:tc>
        <w:tc>
          <w:tcPr>
            <w:tcW w:w="1587" w:type="dxa"/>
            <w:vAlign w:val="center"/>
          </w:tcPr>
          <w:p w14:paraId="221A94C4">
            <w:pPr>
              <w:keepNext w:val="0"/>
              <w:keepLines w:val="0"/>
              <w:pageBreakBefore w:val="0"/>
              <w:widowControl w:val="0"/>
              <w:kinsoku w:val="0"/>
              <w:wordWrap/>
              <w:overflowPunct/>
              <w:autoSpaceDE w:val="0"/>
              <w:autoSpaceDN w:val="0"/>
              <w:bidi w:val="0"/>
              <w:adjustRightInd w:val="0"/>
              <w:snapToGrid w:val="0"/>
              <w:spacing w:before="238" w:line="220" w:lineRule="auto"/>
              <w:textAlignment w:val="baseline"/>
              <w:rPr>
                <w:rFonts w:ascii="宋体" w:hAnsi="宋体" w:eastAsia="宋体" w:cs="宋体"/>
                <w:sz w:val="24"/>
                <w:szCs w:val="24"/>
              </w:rPr>
            </w:pPr>
            <w:r>
              <w:rPr>
                <w:rFonts w:hint="eastAsia" w:ascii="宋体" w:hAnsi="宋体" w:eastAsia="宋体" w:cs="宋体"/>
                <w:spacing w:val="-2"/>
                <w:sz w:val="24"/>
                <w:szCs w:val="24"/>
                <w:lang w:val="en-US" w:eastAsia="zh-CN"/>
              </w:rPr>
              <w:t>运维部</w:t>
            </w:r>
          </w:p>
        </w:tc>
      </w:tr>
      <w:tr w14:paraId="5935FF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3" w:hRule="atLeast"/>
        </w:trPr>
        <w:tc>
          <w:tcPr>
            <w:tcW w:w="3946" w:type="dxa"/>
            <w:vAlign w:val="center"/>
          </w:tcPr>
          <w:p w14:paraId="29C718A4">
            <w:pPr>
              <w:keepNext w:val="0"/>
              <w:keepLines w:val="0"/>
              <w:pageBreakBefore w:val="0"/>
              <w:widowControl w:val="0"/>
              <w:kinsoku w:val="0"/>
              <w:wordWrap/>
              <w:overflowPunct/>
              <w:autoSpaceDE w:val="0"/>
              <w:autoSpaceDN w:val="0"/>
              <w:bidi w:val="0"/>
              <w:adjustRightInd w:val="0"/>
              <w:snapToGrid w:val="0"/>
              <w:spacing w:before="113" w:line="328" w:lineRule="auto"/>
              <w:ind w:left="111" w:right="103"/>
              <w:jc w:val="both"/>
              <w:textAlignment w:val="baseline"/>
              <w:rPr>
                <w:rFonts w:ascii="宋体" w:hAnsi="宋体" w:eastAsia="宋体" w:cs="宋体"/>
                <w:sz w:val="24"/>
                <w:szCs w:val="24"/>
              </w:rPr>
            </w:pPr>
            <w:r>
              <w:rPr>
                <w:rFonts w:ascii="宋体" w:hAnsi="宋体" w:eastAsia="宋体" w:cs="宋体"/>
                <w:spacing w:val="-8"/>
                <w:sz w:val="24"/>
                <w:szCs w:val="24"/>
              </w:rPr>
              <w:t>对于用户的服务请求处理完毕后，</w:t>
            </w:r>
            <w:r>
              <w:rPr>
                <w:rFonts w:hint="eastAsia" w:ascii="宋体" w:hAnsi="宋体" w:cs="宋体"/>
                <w:spacing w:val="-8"/>
                <w:sz w:val="24"/>
                <w:szCs w:val="24"/>
                <w:lang w:eastAsia="zh-CN"/>
              </w:rPr>
              <w:t>服务台专员</w:t>
            </w:r>
            <w:r>
              <w:rPr>
                <w:rFonts w:ascii="宋体" w:hAnsi="宋体" w:eastAsia="宋体" w:cs="宋体"/>
                <w:spacing w:val="-8"/>
                <w:sz w:val="24"/>
                <w:szCs w:val="24"/>
              </w:rPr>
              <w:t>电话进行回访，调查单次用</w:t>
            </w:r>
            <w:r>
              <w:rPr>
                <w:rFonts w:ascii="宋体" w:hAnsi="宋体" w:eastAsia="宋体" w:cs="宋体"/>
                <w:spacing w:val="-2"/>
                <w:sz w:val="24"/>
                <w:szCs w:val="24"/>
              </w:rPr>
              <w:t>户满意度</w:t>
            </w:r>
          </w:p>
        </w:tc>
        <w:tc>
          <w:tcPr>
            <w:tcW w:w="2124" w:type="dxa"/>
            <w:vAlign w:val="center"/>
          </w:tcPr>
          <w:p w14:paraId="378B7A93">
            <w:pPr>
              <w:keepNext w:val="0"/>
              <w:keepLines w:val="0"/>
              <w:pageBreakBefore w:val="0"/>
              <w:widowControl w:val="0"/>
              <w:kinsoku w:val="0"/>
              <w:wordWrap/>
              <w:overflowPunct/>
              <w:autoSpaceDE w:val="0"/>
              <w:autoSpaceDN w:val="0"/>
              <w:bidi w:val="0"/>
              <w:adjustRightInd w:val="0"/>
              <w:snapToGrid w:val="0"/>
              <w:spacing w:before="78" w:line="362" w:lineRule="auto"/>
              <w:ind w:left="226" w:right="217"/>
              <w:textAlignment w:val="baseline"/>
              <w:rPr>
                <w:rFonts w:ascii="宋体" w:hAnsi="宋体" w:eastAsia="宋体" w:cs="宋体"/>
                <w:sz w:val="24"/>
                <w:szCs w:val="24"/>
              </w:rPr>
            </w:pPr>
            <w:r>
              <w:rPr>
                <w:rFonts w:ascii="宋体" w:hAnsi="宋体" w:eastAsia="宋体" w:cs="宋体"/>
                <w:spacing w:val="-2"/>
                <w:sz w:val="24"/>
                <w:szCs w:val="24"/>
              </w:rPr>
              <w:t>服务请求或事件得到解决关闭前</w:t>
            </w:r>
          </w:p>
        </w:tc>
        <w:tc>
          <w:tcPr>
            <w:tcW w:w="1649" w:type="dxa"/>
            <w:vAlign w:val="center"/>
          </w:tcPr>
          <w:p w14:paraId="7CC49E79">
            <w:pPr>
              <w:keepNext w:val="0"/>
              <w:keepLines w:val="0"/>
              <w:pageBreakBefore w:val="0"/>
              <w:widowControl w:val="0"/>
              <w:kinsoku w:val="0"/>
              <w:wordWrap/>
              <w:overflowPunct/>
              <w:autoSpaceDE w:val="0"/>
              <w:autoSpaceDN w:val="0"/>
              <w:bidi w:val="0"/>
              <w:adjustRightInd w:val="0"/>
              <w:snapToGrid w:val="0"/>
              <w:spacing w:before="78" w:line="363" w:lineRule="auto"/>
              <w:ind w:left="589" w:right="217" w:hanging="335"/>
              <w:textAlignment w:val="baseline"/>
              <w:rPr>
                <w:rFonts w:ascii="宋体" w:hAnsi="宋体" w:eastAsia="宋体" w:cs="宋体"/>
                <w:sz w:val="24"/>
                <w:szCs w:val="24"/>
              </w:rPr>
            </w:pPr>
            <w:r>
              <w:rPr>
                <w:rFonts w:ascii="宋体" w:hAnsi="宋体" w:eastAsia="宋体" w:cs="宋体"/>
                <w:spacing w:val="-7"/>
                <w:sz w:val="24"/>
                <w:szCs w:val="24"/>
              </w:rPr>
              <w:t>回访满意度</w:t>
            </w:r>
            <w:r>
              <w:rPr>
                <w:rFonts w:ascii="宋体" w:hAnsi="宋体" w:eastAsia="宋体" w:cs="宋体"/>
                <w:spacing w:val="-3"/>
                <w:sz w:val="24"/>
                <w:szCs w:val="24"/>
              </w:rPr>
              <w:t>记录</w:t>
            </w:r>
          </w:p>
        </w:tc>
        <w:tc>
          <w:tcPr>
            <w:tcW w:w="1587" w:type="dxa"/>
            <w:vAlign w:val="center"/>
          </w:tcPr>
          <w:p w14:paraId="6B4CD1E8">
            <w:pPr>
              <w:keepNext w:val="0"/>
              <w:keepLines w:val="0"/>
              <w:pageBreakBefore w:val="0"/>
              <w:widowControl w:val="0"/>
              <w:kinsoku w:val="0"/>
              <w:wordWrap/>
              <w:overflowPunct/>
              <w:autoSpaceDE w:val="0"/>
              <w:autoSpaceDN w:val="0"/>
              <w:bidi w:val="0"/>
              <w:adjustRightInd w:val="0"/>
              <w:snapToGrid w:val="0"/>
              <w:spacing w:before="78" w:line="363" w:lineRule="auto"/>
              <w:ind w:right="186"/>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服务台专员</w:t>
            </w:r>
          </w:p>
        </w:tc>
      </w:tr>
      <w:tr w14:paraId="58E051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871" w:hRule="atLeast"/>
        </w:trPr>
        <w:tc>
          <w:tcPr>
            <w:tcW w:w="3946" w:type="dxa"/>
            <w:vAlign w:val="center"/>
          </w:tcPr>
          <w:p w14:paraId="77FDCC89">
            <w:pPr>
              <w:keepNext w:val="0"/>
              <w:keepLines w:val="0"/>
              <w:pageBreakBefore w:val="0"/>
              <w:widowControl w:val="0"/>
              <w:kinsoku w:val="0"/>
              <w:wordWrap/>
              <w:overflowPunct/>
              <w:autoSpaceDE w:val="0"/>
              <w:autoSpaceDN w:val="0"/>
              <w:bidi w:val="0"/>
              <w:adjustRightInd w:val="0"/>
              <w:snapToGrid w:val="0"/>
              <w:spacing w:before="113" w:line="336" w:lineRule="auto"/>
              <w:ind w:left="111" w:right="103"/>
              <w:jc w:val="both"/>
              <w:textAlignment w:val="baseline"/>
              <w:rPr>
                <w:rFonts w:ascii="宋体" w:hAnsi="宋体" w:eastAsia="宋体" w:cs="宋体"/>
                <w:sz w:val="24"/>
                <w:szCs w:val="24"/>
              </w:rPr>
            </w:pPr>
            <w:r>
              <w:rPr>
                <w:rFonts w:ascii="宋体" w:hAnsi="宋体" w:eastAsia="宋体" w:cs="宋体"/>
                <w:spacing w:val="-8"/>
                <w:sz w:val="24"/>
                <w:szCs w:val="24"/>
              </w:rPr>
              <w:t>每次服务结束后，客户需要对服务进行评价，并记录在案，现场服务后客户需在现场服务报告单上签字，对值</w:t>
            </w:r>
            <w:r>
              <w:rPr>
                <w:rFonts w:ascii="宋体" w:hAnsi="宋体" w:eastAsia="宋体" w:cs="宋体"/>
                <w:spacing w:val="-1"/>
                <w:sz w:val="24"/>
                <w:szCs w:val="24"/>
              </w:rPr>
              <w:t>班员/检修员进行满意度评分</w:t>
            </w:r>
          </w:p>
        </w:tc>
        <w:tc>
          <w:tcPr>
            <w:tcW w:w="2124" w:type="dxa"/>
            <w:vAlign w:val="center"/>
          </w:tcPr>
          <w:p w14:paraId="433C7836">
            <w:pPr>
              <w:keepNext w:val="0"/>
              <w:keepLines w:val="0"/>
              <w:pageBreakBefore w:val="0"/>
              <w:widowControl w:val="0"/>
              <w:kinsoku w:val="0"/>
              <w:wordWrap/>
              <w:overflowPunct/>
              <w:autoSpaceDE w:val="0"/>
              <w:autoSpaceDN w:val="0"/>
              <w:bidi w:val="0"/>
              <w:adjustRightInd w:val="0"/>
              <w:snapToGrid w:val="0"/>
              <w:spacing w:before="78" w:line="220" w:lineRule="auto"/>
              <w:ind w:left="228"/>
              <w:textAlignment w:val="baseline"/>
              <w:rPr>
                <w:rFonts w:ascii="宋体" w:hAnsi="宋体" w:eastAsia="宋体" w:cs="宋体"/>
                <w:sz w:val="24"/>
                <w:szCs w:val="24"/>
              </w:rPr>
            </w:pPr>
            <w:r>
              <w:rPr>
                <w:rFonts w:ascii="宋体" w:hAnsi="宋体" w:eastAsia="宋体" w:cs="宋体"/>
                <w:spacing w:val="-2"/>
                <w:sz w:val="24"/>
                <w:szCs w:val="24"/>
              </w:rPr>
              <w:t>现场服务结束后</w:t>
            </w:r>
          </w:p>
        </w:tc>
        <w:tc>
          <w:tcPr>
            <w:tcW w:w="1649" w:type="dxa"/>
            <w:vAlign w:val="center"/>
          </w:tcPr>
          <w:p w14:paraId="4C3767AB">
            <w:pPr>
              <w:keepNext w:val="0"/>
              <w:keepLines w:val="0"/>
              <w:pageBreakBefore w:val="0"/>
              <w:widowControl w:val="0"/>
              <w:kinsoku w:val="0"/>
              <w:wordWrap/>
              <w:overflowPunct/>
              <w:autoSpaceDE w:val="0"/>
              <w:autoSpaceDN w:val="0"/>
              <w:bidi w:val="0"/>
              <w:adjustRightInd w:val="0"/>
              <w:snapToGrid w:val="0"/>
              <w:spacing w:before="78" w:line="218" w:lineRule="auto"/>
              <w:ind w:left="350"/>
              <w:textAlignment w:val="baseline"/>
              <w:rPr>
                <w:rFonts w:ascii="宋体" w:hAnsi="宋体" w:eastAsia="宋体" w:cs="宋体"/>
                <w:sz w:val="24"/>
                <w:szCs w:val="24"/>
              </w:rPr>
            </w:pPr>
            <w:r>
              <w:rPr>
                <w:rFonts w:ascii="宋体" w:hAnsi="宋体" w:eastAsia="宋体" w:cs="宋体"/>
                <w:spacing w:val="-2"/>
                <w:sz w:val="24"/>
                <w:szCs w:val="24"/>
              </w:rPr>
              <w:t>服务报告</w:t>
            </w:r>
          </w:p>
        </w:tc>
        <w:tc>
          <w:tcPr>
            <w:tcW w:w="1587" w:type="dxa"/>
            <w:vAlign w:val="center"/>
          </w:tcPr>
          <w:p w14:paraId="5D60707C">
            <w:pPr>
              <w:keepNext w:val="0"/>
              <w:keepLines w:val="0"/>
              <w:pageBreakBefore w:val="0"/>
              <w:widowControl w:val="0"/>
              <w:kinsoku w:val="0"/>
              <w:wordWrap/>
              <w:overflowPunct/>
              <w:autoSpaceDE w:val="0"/>
              <w:autoSpaceDN w:val="0"/>
              <w:bidi w:val="0"/>
              <w:adjustRightInd w:val="0"/>
              <w:snapToGrid w:val="0"/>
              <w:spacing w:before="78" w:line="363" w:lineRule="auto"/>
              <w:ind w:left="688" w:right="126" w:hanging="549"/>
              <w:textAlignment w:val="baseline"/>
              <w:rPr>
                <w:rFonts w:ascii="宋体" w:hAnsi="宋体" w:eastAsia="宋体" w:cs="宋体"/>
                <w:sz w:val="24"/>
                <w:szCs w:val="24"/>
              </w:rPr>
            </w:pPr>
            <w:r>
              <w:rPr>
                <w:rFonts w:hint="eastAsia" w:ascii="宋体" w:hAnsi="宋体" w:eastAsia="宋体" w:cs="宋体"/>
                <w:sz w:val="24"/>
                <w:szCs w:val="24"/>
                <w:lang w:val="en-US" w:eastAsia="zh-CN"/>
              </w:rPr>
              <w:t>服务台专员</w:t>
            </w:r>
          </w:p>
        </w:tc>
      </w:tr>
      <w:tr w14:paraId="27453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3" w:hRule="atLeast"/>
        </w:trPr>
        <w:tc>
          <w:tcPr>
            <w:tcW w:w="3946" w:type="dxa"/>
            <w:vAlign w:val="center"/>
          </w:tcPr>
          <w:p w14:paraId="0A0B3C03">
            <w:pPr>
              <w:keepNext w:val="0"/>
              <w:keepLines w:val="0"/>
              <w:pageBreakBefore w:val="0"/>
              <w:widowControl w:val="0"/>
              <w:kinsoku w:val="0"/>
              <w:wordWrap/>
              <w:overflowPunct/>
              <w:autoSpaceDE w:val="0"/>
              <w:autoSpaceDN w:val="0"/>
              <w:bidi w:val="0"/>
              <w:adjustRightInd w:val="0"/>
              <w:snapToGrid w:val="0"/>
              <w:spacing w:before="78" w:line="220" w:lineRule="auto"/>
              <w:ind w:left="112"/>
              <w:textAlignment w:val="baseline"/>
              <w:rPr>
                <w:rFonts w:ascii="宋体" w:hAnsi="宋体" w:eastAsia="宋体" w:cs="宋体"/>
                <w:sz w:val="24"/>
                <w:szCs w:val="24"/>
              </w:rPr>
            </w:pPr>
            <w:r>
              <w:rPr>
                <w:rFonts w:ascii="宋体" w:hAnsi="宋体" w:eastAsia="宋体" w:cs="宋体"/>
                <w:spacing w:val="-1"/>
                <w:sz w:val="24"/>
                <w:szCs w:val="24"/>
              </w:rPr>
              <w:t>运维部部长对重点客户的拜访</w:t>
            </w:r>
          </w:p>
        </w:tc>
        <w:tc>
          <w:tcPr>
            <w:tcW w:w="2124" w:type="dxa"/>
            <w:vAlign w:val="center"/>
          </w:tcPr>
          <w:p w14:paraId="0BDE5AFB">
            <w:pPr>
              <w:keepNext w:val="0"/>
              <w:keepLines w:val="0"/>
              <w:pageBreakBefore w:val="0"/>
              <w:widowControl w:val="0"/>
              <w:kinsoku w:val="0"/>
              <w:wordWrap/>
              <w:overflowPunct/>
              <w:autoSpaceDE w:val="0"/>
              <w:autoSpaceDN w:val="0"/>
              <w:bidi w:val="0"/>
              <w:adjustRightInd w:val="0"/>
              <w:snapToGrid w:val="0"/>
              <w:spacing w:before="116" w:line="360" w:lineRule="auto"/>
              <w:ind w:left="230" w:right="145" w:hanging="120"/>
              <w:textAlignment w:val="baseline"/>
              <w:rPr>
                <w:rFonts w:ascii="宋体" w:hAnsi="宋体" w:eastAsia="宋体" w:cs="宋体"/>
                <w:sz w:val="24"/>
                <w:szCs w:val="24"/>
              </w:rPr>
            </w:pPr>
            <w:r>
              <w:rPr>
                <w:rFonts w:ascii="宋体" w:hAnsi="宋体" w:eastAsia="宋体" w:cs="宋体"/>
                <w:spacing w:val="-8"/>
                <w:sz w:val="24"/>
                <w:szCs w:val="24"/>
              </w:rPr>
              <w:t>视项目实际情况，</w:t>
            </w:r>
            <w:r>
              <w:rPr>
                <w:rFonts w:ascii="宋体" w:hAnsi="宋体" w:eastAsia="宋体" w:cs="宋体"/>
                <w:spacing w:val="-2"/>
                <w:sz w:val="24"/>
                <w:szCs w:val="24"/>
              </w:rPr>
              <w:t>与客户商定拜访</w:t>
            </w:r>
          </w:p>
          <w:p w14:paraId="4BCBB41F">
            <w:pPr>
              <w:keepNext w:val="0"/>
              <w:keepLines w:val="0"/>
              <w:pageBreakBefore w:val="0"/>
              <w:widowControl w:val="0"/>
              <w:kinsoku w:val="0"/>
              <w:wordWrap/>
              <w:overflowPunct/>
              <w:autoSpaceDE w:val="0"/>
              <w:autoSpaceDN w:val="0"/>
              <w:bidi w:val="0"/>
              <w:adjustRightInd w:val="0"/>
              <w:snapToGrid w:val="0"/>
              <w:spacing w:line="221" w:lineRule="auto"/>
              <w:ind w:left="837"/>
              <w:textAlignment w:val="baseline"/>
              <w:rPr>
                <w:rFonts w:ascii="宋体" w:hAnsi="宋体" w:eastAsia="宋体" w:cs="宋体"/>
                <w:sz w:val="24"/>
                <w:szCs w:val="24"/>
              </w:rPr>
            </w:pPr>
            <w:r>
              <w:rPr>
                <w:rFonts w:ascii="宋体" w:hAnsi="宋体" w:eastAsia="宋体" w:cs="宋体"/>
                <w:spacing w:val="-6"/>
                <w:sz w:val="24"/>
                <w:szCs w:val="24"/>
              </w:rPr>
              <w:t>时间</w:t>
            </w:r>
          </w:p>
        </w:tc>
        <w:tc>
          <w:tcPr>
            <w:tcW w:w="1649" w:type="dxa"/>
            <w:vAlign w:val="center"/>
          </w:tcPr>
          <w:p w14:paraId="458290B5">
            <w:pPr>
              <w:keepNext w:val="0"/>
              <w:keepLines w:val="0"/>
              <w:pageBreakBefore w:val="0"/>
              <w:widowControl w:val="0"/>
              <w:kinsoku w:val="0"/>
              <w:wordWrap/>
              <w:overflowPunct/>
              <w:autoSpaceDE w:val="0"/>
              <w:autoSpaceDN w:val="0"/>
              <w:bidi w:val="0"/>
              <w:adjustRightInd w:val="0"/>
              <w:snapToGrid w:val="0"/>
              <w:spacing w:before="78" w:line="363" w:lineRule="auto"/>
              <w:ind w:left="711" w:right="217" w:hanging="479"/>
              <w:textAlignment w:val="baseline"/>
              <w:rPr>
                <w:rFonts w:ascii="宋体" w:hAnsi="宋体" w:eastAsia="宋体" w:cs="宋体"/>
                <w:sz w:val="24"/>
                <w:szCs w:val="24"/>
              </w:rPr>
            </w:pPr>
            <w:r>
              <w:rPr>
                <w:rFonts w:ascii="宋体" w:hAnsi="宋体" w:eastAsia="宋体" w:cs="宋体"/>
                <w:spacing w:val="-3"/>
                <w:sz w:val="24"/>
                <w:szCs w:val="24"/>
              </w:rPr>
              <w:t>客户拜访记</w:t>
            </w:r>
            <w:r>
              <w:rPr>
                <w:rFonts w:ascii="宋体" w:hAnsi="宋体" w:eastAsia="宋体" w:cs="宋体"/>
                <w:sz w:val="24"/>
                <w:szCs w:val="24"/>
              </w:rPr>
              <w:t>录</w:t>
            </w:r>
          </w:p>
        </w:tc>
        <w:tc>
          <w:tcPr>
            <w:tcW w:w="1587" w:type="dxa"/>
            <w:vAlign w:val="center"/>
          </w:tcPr>
          <w:p w14:paraId="32E90E7B">
            <w:pPr>
              <w:keepNext w:val="0"/>
              <w:keepLines w:val="0"/>
              <w:pageBreakBefore w:val="0"/>
              <w:widowControl w:val="0"/>
              <w:kinsoku w:val="0"/>
              <w:wordWrap/>
              <w:overflowPunct/>
              <w:autoSpaceDE w:val="0"/>
              <w:autoSpaceDN w:val="0"/>
              <w:bidi w:val="0"/>
              <w:adjustRightInd w:val="0"/>
              <w:snapToGrid w:val="0"/>
              <w:spacing w:before="78" w:line="220" w:lineRule="auto"/>
              <w:ind w:left="199"/>
              <w:textAlignment w:val="baseline"/>
              <w:rPr>
                <w:rFonts w:ascii="宋体" w:hAnsi="宋体" w:eastAsia="宋体" w:cs="宋体"/>
                <w:sz w:val="24"/>
                <w:szCs w:val="24"/>
              </w:rPr>
            </w:pPr>
            <w:r>
              <w:rPr>
                <w:rFonts w:ascii="宋体" w:hAnsi="宋体" w:eastAsia="宋体" w:cs="宋体"/>
                <w:spacing w:val="-2"/>
                <w:sz w:val="24"/>
                <w:szCs w:val="24"/>
              </w:rPr>
              <w:t>运维部部长</w:t>
            </w:r>
          </w:p>
        </w:tc>
      </w:tr>
      <w:tr w14:paraId="10DE65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3946" w:type="dxa"/>
            <w:vAlign w:val="center"/>
          </w:tcPr>
          <w:p w14:paraId="5BF4EFEC">
            <w:pPr>
              <w:keepNext w:val="0"/>
              <w:keepLines w:val="0"/>
              <w:pageBreakBefore w:val="0"/>
              <w:widowControl w:val="0"/>
              <w:kinsoku w:val="0"/>
              <w:wordWrap/>
              <w:overflowPunct/>
              <w:autoSpaceDE w:val="0"/>
              <w:autoSpaceDN w:val="0"/>
              <w:bidi w:val="0"/>
              <w:adjustRightInd w:val="0"/>
              <w:snapToGrid w:val="0"/>
              <w:spacing w:before="119" w:line="310" w:lineRule="auto"/>
              <w:ind w:left="116" w:right="104" w:hanging="1"/>
              <w:textAlignment w:val="baseline"/>
              <w:rPr>
                <w:rFonts w:ascii="宋体" w:hAnsi="宋体" w:eastAsia="宋体" w:cs="宋体"/>
                <w:sz w:val="24"/>
                <w:szCs w:val="24"/>
              </w:rPr>
            </w:pPr>
            <w:r>
              <w:rPr>
                <w:rFonts w:ascii="宋体" w:hAnsi="宋体" w:eastAsia="宋体" w:cs="宋体"/>
                <w:spacing w:val="-8"/>
                <w:sz w:val="24"/>
                <w:szCs w:val="24"/>
              </w:rPr>
              <w:t>各专业开展用户满意度调查，并对结</w:t>
            </w:r>
            <w:r>
              <w:rPr>
                <w:rFonts w:ascii="宋体" w:hAnsi="宋体" w:eastAsia="宋体" w:cs="宋体"/>
                <w:spacing w:val="-3"/>
                <w:sz w:val="24"/>
                <w:szCs w:val="24"/>
              </w:rPr>
              <w:t>果进行分析</w:t>
            </w:r>
          </w:p>
        </w:tc>
        <w:tc>
          <w:tcPr>
            <w:tcW w:w="2124" w:type="dxa"/>
            <w:vAlign w:val="center"/>
          </w:tcPr>
          <w:p w14:paraId="29BB5259">
            <w:pPr>
              <w:keepNext w:val="0"/>
              <w:keepLines w:val="0"/>
              <w:pageBreakBefore w:val="0"/>
              <w:widowControl w:val="0"/>
              <w:kinsoku w:val="0"/>
              <w:wordWrap/>
              <w:overflowPunct/>
              <w:autoSpaceDE w:val="0"/>
              <w:autoSpaceDN w:val="0"/>
              <w:bidi w:val="0"/>
              <w:adjustRightInd w:val="0"/>
              <w:snapToGrid w:val="0"/>
              <w:spacing w:before="78" w:line="220" w:lineRule="auto"/>
              <w:ind w:left="586"/>
              <w:textAlignment w:val="baseline"/>
              <w:rPr>
                <w:rFonts w:ascii="宋体" w:hAnsi="宋体" w:eastAsia="宋体" w:cs="宋体"/>
                <w:sz w:val="24"/>
                <w:szCs w:val="24"/>
              </w:rPr>
            </w:pPr>
            <w:r>
              <w:rPr>
                <w:rFonts w:ascii="宋体" w:hAnsi="宋体" w:eastAsia="宋体" w:cs="宋体"/>
                <w:spacing w:val="-3"/>
                <w:sz w:val="24"/>
                <w:szCs w:val="24"/>
              </w:rPr>
              <w:t>每月一次</w:t>
            </w:r>
          </w:p>
        </w:tc>
        <w:tc>
          <w:tcPr>
            <w:tcW w:w="1649" w:type="dxa"/>
            <w:vAlign w:val="center"/>
          </w:tcPr>
          <w:p w14:paraId="644ADF7B">
            <w:pPr>
              <w:keepNext w:val="0"/>
              <w:keepLines w:val="0"/>
              <w:pageBreakBefore w:val="0"/>
              <w:widowControl w:val="0"/>
              <w:kinsoku w:val="0"/>
              <w:wordWrap/>
              <w:overflowPunct/>
              <w:autoSpaceDE w:val="0"/>
              <w:autoSpaceDN w:val="0"/>
              <w:bidi w:val="0"/>
              <w:adjustRightInd w:val="0"/>
              <w:snapToGrid w:val="0"/>
              <w:spacing w:before="119" w:line="310" w:lineRule="auto"/>
              <w:ind w:left="709" w:right="217" w:hanging="479"/>
              <w:textAlignment w:val="baseline"/>
              <w:rPr>
                <w:rFonts w:ascii="宋体" w:hAnsi="宋体" w:eastAsia="宋体" w:cs="宋体"/>
                <w:sz w:val="24"/>
                <w:szCs w:val="24"/>
              </w:rPr>
            </w:pPr>
            <w:r>
              <w:rPr>
                <w:rFonts w:ascii="宋体" w:hAnsi="宋体" w:eastAsia="宋体" w:cs="宋体"/>
                <w:spacing w:val="-2"/>
                <w:sz w:val="24"/>
                <w:szCs w:val="24"/>
              </w:rPr>
              <w:t>满意度调查</w:t>
            </w:r>
            <w:r>
              <w:rPr>
                <w:rFonts w:ascii="宋体" w:hAnsi="宋体" w:eastAsia="宋体" w:cs="宋体"/>
                <w:sz w:val="24"/>
                <w:szCs w:val="24"/>
              </w:rPr>
              <w:t>表</w:t>
            </w:r>
          </w:p>
        </w:tc>
        <w:tc>
          <w:tcPr>
            <w:tcW w:w="1587" w:type="dxa"/>
            <w:vAlign w:val="center"/>
          </w:tcPr>
          <w:p w14:paraId="1856036B">
            <w:pPr>
              <w:keepNext w:val="0"/>
              <w:keepLines w:val="0"/>
              <w:pageBreakBefore w:val="0"/>
              <w:widowControl w:val="0"/>
              <w:kinsoku w:val="0"/>
              <w:wordWrap/>
              <w:overflowPunct/>
              <w:autoSpaceDE w:val="0"/>
              <w:autoSpaceDN w:val="0"/>
              <w:bidi w:val="0"/>
              <w:adjustRightInd w:val="0"/>
              <w:snapToGrid w:val="0"/>
              <w:spacing w:before="119" w:line="310" w:lineRule="auto"/>
              <w:ind w:left="448" w:right="186" w:hanging="248"/>
              <w:textAlignment w:val="baseline"/>
              <w:rPr>
                <w:rFonts w:hint="eastAsia" w:ascii="宋体" w:hAnsi="宋体" w:eastAsia="宋体" w:cs="宋体"/>
                <w:sz w:val="24"/>
                <w:szCs w:val="24"/>
                <w:lang w:val="en-US" w:eastAsia="zh-CN"/>
              </w:rPr>
            </w:pPr>
            <w:r>
              <w:rPr>
                <w:rFonts w:ascii="宋体" w:hAnsi="宋体" w:eastAsia="宋体" w:cs="宋体"/>
                <w:spacing w:val="-3"/>
                <w:sz w:val="24"/>
                <w:szCs w:val="24"/>
              </w:rPr>
              <w:t>质量部部长</w:t>
            </w:r>
          </w:p>
        </w:tc>
      </w:tr>
      <w:tr w14:paraId="453F5A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3" w:hRule="atLeast"/>
        </w:trPr>
        <w:tc>
          <w:tcPr>
            <w:tcW w:w="3946" w:type="dxa"/>
            <w:vAlign w:val="center"/>
          </w:tcPr>
          <w:p w14:paraId="1FCF1125">
            <w:pPr>
              <w:keepNext w:val="0"/>
              <w:keepLines w:val="0"/>
              <w:pageBreakBefore w:val="0"/>
              <w:widowControl w:val="0"/>
              <w:kinsoku w:val="0"/>
              <w:wordWrap/>
              <w:overflowPunct/>
              <w:autoSpaceDE w:val="0"/>
              <w:autoSpaceDN w:val="0"/>
              <w:bidi w:val="0"/>
              <w:adjustRightInd w:val="0"/>
              <w:snapToGrid w:val="0"/>
              <w:spacing w:before="78" w:line="220" w:lineRule="auto"/>
              <w:ind w:left="112"/>
              <w:textAlignment w:val="baseline"/>
              <w:rPr>
                <w:rFonts w:hint="eastAsia" w:ascii="宋体" w:hAnsi="宋体" w:eastAsia="宋体" w:cs="宋体"/>
                <w:sz w:val="24"/>
                <w:szCs w:val="24"/>
                <w:lang w:val="en-US" w:eastAsia="zh-CN"/>
              </w:rPr>
            </w:pPr>
            <w:r>
              <w:rPr>
                <w:rFonts w:ascii="宋体" w:hAnsi="宋体" w:eastAsia="宋体" w:cs="宋体"/>
                <w:spacing w:val="-1"/>
                <w:sz w:val="24"/>
                <w:szCs w:val="24"/>
              </w:rPr>
              <w:t>满意度调查分析汇总</w:t>
            </w:r>
          </w:p>
        </w:tc>
        <w:tc>
          <w:tcPr>
            <w:tcW w:w="2124" w:type="dxa"/>
            <w:vAlign w:val="center"/>
          </w:tcPr>
          <w:p w14:paraId="2BF78B39">
            <w:pPr>
              <w:keepNext w:val="0"/>
              <w:keepLines w:val="0"/>
              <w:pageBreakBefore w:val="0"/>
              <w:widowControl w:val="0"/>
              <w:kinsoku w:val="0"/>
              <w:wordWrap/>
              <w:overflowPunct/>
              <w:autoSpaceDE w:val="0"/>
              <w:autoSpaceDN w:val="0"/>
              <w:bidi w:val="0"/>
              <w:adjustRightInd w:val="0"/>
              <w:snapToGrid w:val="0"/>
              <w:spacing w:before="78" w:line="220" w:lineRule="auto"/>
              <w:ind w:left="706"/>
              <w:textAlignment w:val="baseline"/>
              <w:rPr>
                <w:rFonts w:ascii="宋体" w:hAnsi="宋体" w:eastAsia="宋体" w:cs="宋体"/>
                <w:sz w:val="24"/>
                <w:szCs w:val="24"/>
              </w:rPr>
            </w:pPr>
            <w:r>
              <w:rPr>
                <w:rFonts w:ascii="宋体" w:hAnsi="宋体" w:eastAsia="宋体" w:cs="宋体"/>
                <w:spacing w:val="-3"/>
                <w:sz w:val="24"/>
                <w:szCs w:val="24"/>
              </w:rPr>
              <w:t>每季度</w:t>
            </w:r>
          </w:p>
        </w:tc>
        <w:tc>
          <w:tcPr>
            <w:tcW w:w="1649" w:type="dxa"/>
            <w:vAlign w:val="center"/>
          </w:tcPr>
          <w:p w14:paraId="5638CC47">
            <w:pPr>
              <w:keepNext w:val="0"/>
              <w:keepLines w:val="0"/>
              <w:pageBreakBefore w:val="0"/>
              <w:widowControl w:val="0"/>
              <w:kinsoku w:val="0"/>
              <w:wordWrap/>
              <w:overflowPunct/>
              <w:autoSpaceDE w:val="0"/>
              <w:autoSpaceDN w:val="0"/>
              <w:bidi w:val="0"/>
              <w:adjustRightInd w:val="0"/>
              <w:snapToGrid w:val="0"/>
              <w:spacing w:before="118" w:line="220" w:lineRule="auto"/>
              <w:ind w:left="232"/>
              <w:textAlignment w:val="baseline"/>
              <w:rPr>
                <w:rFonts w:ascii="宋体" w:hAnsi="宋体" w:eastAsia="宋体" w:cs="宋体"/>
                <w:sz w:val="24"/>
                <w:szCs w:val="24"/>
              </w:rPr>
            </w:pPr>
            <w:r>
              <w:rPr>
                <w:rFonts w:ascii="宋体" w:hAnsi="宋体" w:eastAsia="宋体" w:cs="宋体"/>
                <w:spacing w:val="-2"/>
                <w:sz w:val="24"/>
                <w:szCs w:val="24"/>
              </w:rPr>
              <w:t>客户满意度</w:t>
            </w:r>
          </w:p>
          <w:p w14:paraId="5AB0664B">
            <w:pPr>
              <w:keepNext w:val="0"/>
              <w:keepLines w:val="0"/>
              <w:pageBreakBefore w:val="0"/>
              <w:widowControl w:val="0"/>
              <w:kinsoku w:val="0"/>
              <w:wordWrap/>
              <w:overflowPunct/>
              <w:autoSpaceDE w:val="0"/>
              <w:autoSpaceDN w:val="0"/>
              <w:bidi w:val="0"/>
              <w:adjustRightInd w:val="0"/>
              <w:snapToGrid w:val="0"/>
              <w:spacing w:before="182" w:line="310" w:lineRule="auto"/>
              <w:ind w:left="715" w:right="217" w:hanging="483"/>
              <w:textAlignment w:val="baseline"/>
              <w:rPr>
                <w:rFonts w:ascii="宋体" w:hAnsi="宋体" w:eastAsia="宋体" w:cs="宋体"/>
                <w:sz w:val="24"/>
                <w:szCs w:val="24"/>
              </w:rPr>
            </w:pPr>
            <w:r>
              <w:rPr>
                <w:rFonts w:ascii="宋体" w:hAnsi="宋体" w:eastAsia="宋体" w:cs="宋体"/>
                <w:spacing w:val="-3"/>
                <w:sz w:val="24"/>
                <w:szCs w:val="24"/>
              </w:rPr>
              <w:t>调查分析报</w:t>
            </w:r>
            <w:r>
              <w:rPr>
                <w:rFonts w:ascii="宋体" w:hAnsi="宋体" w:eastAsia="宋体" w:cs="宋体"/>
                <w:sz w:val="24"/>
                <w:szCs w:val="24"/>
              </w:rPr>
              <w:t>告</w:t>
            </w:r>
          </w:p>
        </w:tc>
        <w:tc>
          <w:tcPr>
            <w:tcW w:w="1587" w:type="dxa"/>
            <w:vAlign w:val="center"/>
          </w:tcPr>
          <w:p w14:paraId="2B2F7175">
            <w:pPr>
              <w:keepNext w:val="0"/>
              <w:keepLines w:val="0"/>
              <w:pageBreakBefore w:val="0"/>
              <w:widowControl w:val="0"/>
              <w:kinsoku w:val="0"/>
              <w:wordWrap/>
              <w:overflowPunct/>
              <w:autoSpaceDE w:val="0"/>
              <w:autoSpaceDN w:val="0"/>
              <w:bidi w:val="0"/>
              <w:adjustRightInd w:val="0"/>
              <w:snapToGrid w:val="0"/>
              <w:spacing w:before="78" w:line="362" w:lineRule="auto"/>
              <w:ind w:left="448" w:right="186" w:hanging="248"/>
              <w:textAlignment w:val="baseline"/>
              <w:rPr>
                <w:rFonts w:ascii="宋体" w:hAnsi="宋体" w:eastAsia="宋体" w:cs="宋体"/>
                <w:sz w:val="24"/>
                <w:szCs w:val="24"/>
              </w:rPr>
            </w:pPr>
            <w:r>
              <w:rPr>
                <w:rFonts w:ascii="宋体" w:hAnsi="宋体" w:eastAsia="宋体" w:cs="宋体"/>
                <w:spacing w:val="-3"/>
                <w:sz w:val="24"/>
                <w:szCs w:val="24"/>
              </w:rPr>
              <w:t>质量部部长</w:t>
            </w:r>
          </w:p>
        </w:tc>
      </w:tr>
      <w:tr w14:paraId="0CBFA4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8" w:hRule="atLeast"/>
        </w:trPr>
        <w:tc>
          <w:tcPr>
            <w:tcW w:w="3946" w:type="dxa"/>
            <w:vAlign w:val="center"/>
          </w:tcPr>
          <w:p w14:paraId="629BF9E1">
            <w:pPr>
              <w:keepNext w:val="0"/>
              <w:keepLines w:val="0"/>
              <w:pageBreakBefore w:val="0"/>
              <w:widowControl w:val="0"/>
              <w:kinsoku w:val="0"/>
              <w:wordWrap/>
              <w:overflowPunct/>
              <w:autoSpaceDE w:val="0"/>
              <w:autoSpaceDN w:val="0"/>
              <w:bidi w:val="0"/>
              <w:adjustRightInd w:val="0"/>
              <w:snapToGrid w:val="0"/>
              <w:spacing w:before="78" w:line="362" w:lineRule="auto"/>
              <w:ind w:left="114" w:right="104"/>
              <w:textAlignment w:val="baseline"/>
              <w:rPr>
                <w:rFonts w:ascii="宋体" w:hAnsi="宋体" w:eastAsia="宋体" w:cs="宋体"/>
                <w:sz w:val="24"/>
                <w:szCs w:val="24"/>
              </w:rPr>
            </w:pPr>
            <w:r>
              <w:rPr>
                <w:rFonts w:ascii="宋体" w:hAnsi="宋体" w:eastAsia="宋体" w:cs="宋体"/>
                <w:spacing w:val="-9"/>
                <w:sz w:val="24"/>
                <w:szCs w:val="24"/>
              </w:rPr>
              <w:t>调查SLA达成率是否能够满足，并尽</w:t>
            </w:r>
            <w:r>
              <w:rPr>
                <w:rFonts w:ascii="宋体" w:hAnsi="宋体" w:eastAsia="宋体" w:cs="宋体"/>
                <w:spacing w:val="-2"/>
                <w:sz w:val="24"/>
                <w:szCs w:val="24"/>
              </w:rPr>
              <w:t>可能挖掘新的服务</w:t>
            </w:r>
          </w:p>
        </w:tc>
        <w:tc>
          <w:tcPr>
            <w:tcW w:w="2124" w:type="dxa"/>
            <w:vAlign w:val="center"/>
          </w:tcPr>
          <w:p w14:paraId="308902B7">
            <w:pPr>
              <w:keepNext w:val="0"/>
              <w:keepLines w:val="0"/>
              <w:pageBreakBefore w:val="0"/>
              <w:widowControl w:val="0"/>
              <w:kinsoku w:val="0"/>
              <w:wordWrap/>
              <w:overflowPunct/>
              <w:autoSpaceDE w:val="0"/>
              <w:autoSpaceDN w:val="0"/>
              <w:bidi w:val="0"/>
              <w:adjustRightInd w:val="0"/>
              <w:snapToGrid w:val="0"/>
              <w:spacing w:before="78" w:line="362" w:lineRule="auto"/>
              <w:ind w:left="346" w:right="217" w:hanging="122"/>
              <w:textAlignment w:val="baseline"/>
              <w:rPr>
                <w:rFonts w:ascii="宋体" w:hAnsi="宋体" w:eastAsia="宋体" w:cs="宋体"/>
                <w:sz w:val="24"/>
                <w:szCs w:val="24"/>
              </w:rPr>
            </w:pPr>
            <w:r>
              <w:rPr>
                <w:rFonts w:ascii="宋体" w:hAnsi="宋体" w:eastAsia="宋体" w:cs="宋体"/>
                <w:spacing w:val="-2"/>
                <w:sz w:val="24"/>
                <w:szCs w:val="24"/>
              </w:rPr>
              <w:t>进行满意度调查和拜访用户时</w:t>
            </w:r>
          </w:p>
        </w:tc>
        <w:tc>
          <w:tcPr>
            <w:tcW w:w="1649" w:type="dxa"/>
            <w:vAlign w:val="center"/>
          </w:tcPr>
          <w:p w14:paraId="30ACAC16">
            <w:pPr>
              <w:keepNext w:val="0"/>
              <w:keepLines w:val="0"/>
              <w:pageBreakBefore w:val="0"/>
              <w:widowControl w:val="0"/>
              <w:kinsoku w:val="0"/>
              <w:wordWrap/>
              <w:overflowPunct/>
              <w:autoSpaceDE w:val="0"/>
              <w:autoSpaceDN w:val="0"/>
              <w:bidi w:val="0"/>
              <w:adjustRightInd w:val="0"/>
              <w:snapToGrid w:val="0"/>
              <w:spacing w:before="78" w:line="363" w:lineRule="auto"/>
              <w:ind w:left="600" w:right="217" w:hanging="368"/>
              <w:textAlignment w:val="baseline"/>
              <w:rPr>
                <w:rFonts w:ascii="宋体" w:hAnsi="宋体" w:eastAsia="宋体" w:cs="宋体"/>
                <w:sz w:val="24"/>
                <w:szCs w:val="24"/>
              </w:rPr>
            </w:pPr>
            <w:r>
              <w:rPr>
                <w:rFonts w:ascii="宋体" w:hAnsi="宋体" w:eastAsia="宋体" w:cs="宋体"/>
                <w:spacing w:val="-3"/>
                <w:sz w:val="24"/>
                <w:szCs w:val="24"/>
              </w:rPr>
              <w:t>客户反馈信</w:t>
            </w:r>
            <w:r>
              <w:rPr>
                <w:rFonts w:ascii="宋体" w:hAnsi="宋体" w:eastAsia="宋体" w:cs="宋体"/>
                <w:spacing w:val="-5"/>
                <w:sz w:val="24"/>
                <w:szCs w:val="24"/>
              </w:rPr>
              <w:t>息表</w:t>
            </w:r>
          </w:p>
        </w:tc>
        <w:tc>
          <w:tcPr>
            <w:tcW w:w="1587" w:type="dxa"/>
            <w:vAlign w:val="center"/>
          </w:tcPr>
          <w:p w14:paraId="1F73B4EC">
            <w:pPr>
              <w:keepNext w:val="0"/>
              <w:keepLines w:val="0"/>
              <w:pageBreakBefore w:val="0"/>
              <w:widowControl w:val="0"/>
              <w:kinsoku w:val="0"/>
              <w:wordWrap/>
              <w:overflowPunct/>
              <w:autoSpaceDE w:val="0"/>
              <w:autoSpaceDN w:val="0"/>
              <w:bidi w:val="0"/>
              <w:adjustRightInd w:val="0"/>
              <w:snapToGrid w:val="0"/>
              <w:spacing w:before="181" w:line="312" w:lineRule="auto"/>
              <w:ind w:left="680" w:right="186" w:hanging="480"/>
              <w:textAlignment w:val="baseline"/>
              <w:rPr>
                <w:rFonts w:hint="default" w:ascii="宋体" w:hAnsi="宋体" w:eastAsia="宋体" w:cs="宋体"/>
                <w:sz w:val="24"/>
                <w:szCs w:val="24"/>
                <w:lang w:val="en-US" w:eastAsia="zh-CN"/>
              </w:rPr>
            </w:pPr>
            <w:r>
              <w:rPr>
                <w:rFonts w:hint="eastAsia" w:ascii="宋体" w:hAnsi="宋体" w:eastAsia="宋体" w:cs="宋体"/>
                <w:spacing w:val="-2"/>
                <w:sz w:val="24"/>
                <w:szCs w:val="24"/>
                <w:lang w:val="en-US" w:eastAsia="zh-CN"/>
              </w:rPr>
              <w:t>运维部部长</w:t>
            </w:r>
          </w:p>
        </w:tc>
      </w:tr>
    </w:tbl>
    <w:p w14:paraId="18096EBE">
      <w:pPr>
        <w:pStyle w:val="28"/>
        <w:keepNext w:val="0"/>
        <w:keepLines w:val="0"/>
        <w:pageBreakBefore w:val="0"/>
        <w:widowControl w:val="0"/>
        <w:kinsoku w:val="0"/>
        <w:wordWrap/>
        <w:overflowPunct/>
        <w:autoSpaceDE w:val="0"/>
        <w:autoSpaceDN w:val="0"/>
        <w:bidi w:val="0"/>
        <w:adjustRightInd w:val="0"/>
        <w:snapToGrid w:val="0"/>
        <w:textAlignment w:val="baseline"/>
        <w:rPr>
          <w:rStyle w:val="38"/>
          <w:rFonts w:hint="default" w:eastAsia="宋体"/>
          <w:lang w:val="en-US" w:eastAsia="zh-CN"/>
        </w:rPr>
      </w:pPr>
      <w:bookmarkStart w:id="30" w:name="bookmark3"/>
      <w:bookmarkEnd w:id="30"/>
      <w:bookmarkStart w:id="31" w:name="_Toc17424"/>
      <w:bookmarkStart w:id="32" w:name="_Toc14575"/>
      <w:r>
        <w:rPr>
          <w:rStyle w:val="38"/>
          <w:rFonts w:hint="eastAsia" w:eastAsia="宋体"/>
          <w:lang w:val="en-US" w:eastAsia="zh-CN"/>
        </w:rPr>
        <w:t>附则</w:t>
      </w:r>
      <w:bookmarkEnd w:id="31"/>
      <w:bookmarkEnd w:id="32"/>
    </w:p>
    <w:p w14:paraId="77943A44">
      <w:pPr>
        <w:keepNext w:val="0"/>
        <w:keepLines w:val="0"/>
        <w:pageBreakBefore w:val="0"/>
        <w:widowControl w:val="0"/>
        <w:numPr>
          <w:ilvl w:val="0"/>
          <w:numId w:val="5"/>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本制度最终解释权和修订权归质量部。</w:t>
      </w:r>
      <w:r>
        <w:rPr>
          <w:rFonts w:hint="eastAsia" w:ascii="宋体" w:hAnsi="宋体" w:cs="宋体"/>
          <w:spacing w:val="-1"/>
          <w:sz w:val="24"/>
          <w:szCs w:val="24"/>
          <w:lang w:val="en-US" w:eastAsia="zh-CN"/>
        </w:rPr>
      </w:r>
      <w:r>
        <w:rPr>
          <w:rFonts w:ascii="宋体" w:hAnsi="宋体" w:eastAsia="宋体" w:cs="宋体"/>
          <w:spacing w:val="-1"/>
          <w:sz w:val="24"/>
          <w:szCs w:val="24"/>
        </w:rPr>
      </w:r>
    </w:p>
    <w:p w14:paraId="2167ED04">
      <w:pPr>
        <w:keepNext w:val="0"/>
        <w:keepLines w:val="0"/>
        <w:pageBreakBefore w:val="0"/>
        <w:widowControl w:val="0"/>
        <w:numPr>
          <w:ilvl w:val="0"/>
          <w:numId w:val="5"/>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315BE36D">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3" w:name="bookmark14"/>
      <w:bookmarkEnd w:id="33"/>
      <w:bookmarkStart w:id="34" w:name="_Toc8999"/>
      <w:r>
        <w:rPr>
          <w:rFonts w:hint="eastAsia"/>
          <w:lang w:val="en-US" w:eastAsia="zh-CN"/>
        </w:rPr>
        <w:t>附件</w:t>
      </w:r>
      <w:bookmarkEnd w:id="34"/>
    </w:p>
    <w:p w14:paraId="3DC9B5BE">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《内部审核检查表》</w:t>
      </w:r>
    </w:p>
    <w:p w14:paraId="2FBACB09">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《纠正与预防措施报告》</w:t>
      </w:r>
    </w:p>
    <w:p w14:paraId="07E422A5">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《服务质量保证计划》（模板）</w:t>
      </w:r>
    </w:p>
    <w:p w14:paraId="003D06D4">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《客户满意度调查表》</w:t>
      </w:r>
    </w:p>
    <w:p w14:paraId="7E345ED3">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5" w:name="_Toc32392"/>
      <w:r>
        <w:rPr>
          <w:rFonts w:hint="eastAsia"/>
          <w:lang w:val="en-US" w:eastAsia="zh-CN"/>
        </w:rPr>
        <w:t>记录</w:t>
      </w:r>
      <w:bookmarkEnd w:id="35"/>
    </w:p>
    <w:p w14:paraId="474917B0">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《内部审核报告》</w:t>
      </w:r>
    </w:p>
    <w:p w14:paraId="54C3F5E8">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《管理评审报告》</w:t>
      </w:r>
    </w:p>
    <w:p w14:paraId="5363D950">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《月度/季度质量分析报告》</w:t>
      </w:r>
    </w:p>
    <w:p w14:paraId="36599D53">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《客户满意度调查分析报告》</w:t>
      </w:r>
    </w:p>
    <w:p w14:paraId="355E9DA7">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《服务报告》</w:t>
      </w:r>
    </w:p>
    <w:p w14:paraId="14FD15B9">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《客户拜访记录表》</w:t>
      </w:r>
    </w:p>
    <w:p w14:paraId="113A556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所有记录由质量部统一归档，保存期限不少于3年。</w:t>
      </w:r>
    </w:p>
    <w:sectPr>
      <w:headerReference r:id="rId5" w:type="default"/>
      <w:footerReference w:type="default" r:id="rId11"/>
      <w:headerReference w:type="first" r:id="rId12"/>
      <w:footerReference w:type="first" r:id="rId13"/>
      <w:headerReference w:type="even" r:id="rId14"/>
      <w:footerReference w:type="even" r:id="rId15"/>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70E89A">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tab/>
      <w:t>重庆市鹧鸪哨信息技术有限责任公司</w:t>
    </w:r>
    <w:r>
      <w:rPr>
        <w:rFonts w:hint="eastAsia" w:eastAsiaTheme="minorEastAsia"/>
        <w:lang w:val="en-US" w:eastAsia="zh-CN"/>
      </w:rPr>
    </w:r>
    <w:r>
      <w:rPr>
        <w:rFonts w:hint="eastAsia" w:eastAsiaTheme="minorEastAsia"/>
        <w:lang w:val="en-US" w:eastAsia="zh-CN"/>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86E705"/>
    <w:multiLevelType w:val="singleLevel"/>
    <w:tmpl w:val="8586E705"/>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9701F65D"/>
    <w:multiLevelType w:val="singleLevel"/>
    <w:tmpl w:val="9701F65D"/>
    <w:lvl w:ilvl="0" w:tentative="0">
      <w:start w:val="1"/>
      <w:numFmt w:val="decimal"/>
      <w:lvlText w:val="%1."/>
      <w:lvlJc w:val="left"/>
      <w:pPr>
        <w:ind w:left="425" w:hanging="425"/>
      </w:pPr>
      <w:rPr>
        <w:rFonts w:hint="default"/>
      </w:rPr>
    </w:lvl>
  </w:abstractNum>
  <w:abstractNum w:abstractNumId="3">
    <w:nsid w:val="976136C6"/>
    <w:multiLevelType w:val="singleLevel"/>
    <w:tmpl w:val="976136C6"/>
    <w:lvl w:ilvl="0" w:tentative="0">
      <w:start w:val="1"/>
      <w:numFmt w:val="decimal"/>
      <w:lvlText w:val="%1."/>
      <w:lvlJc w:val="left"/>
      <w:pPr>
        <w:ind w:left="425" w:hanging="425"/>
      </w:pPr>
      <w:rPr>
        <w:rFonts w:hint="default"/>
      </w:rPr>
    </w:lvl>
  </w:abstractNum>
  <w:abstractNum w:abstractNumId="4">
    <w:nsid w:val="D90276AA"/>
    <w:multiLevelType w:val="singleLevel"/>
    <w:tmpl w:val="D90276AA"/>
    <w:lvl w:ilvl="0" w:tentative="0">
      <w:start w:val="1"/>
      <w:numFmt w:val="decimal"/>
      <w:lvlText w:val="%1."/>
      <w:lvlJc w:val="left"/>
      <w:pPr>
        <w:ind w:left="425" w:hanging="425"/>
      </w:pPr>
      <w:rPr>
        <w:rFonts w:hint="default"/>
      </w:rPr>
    </w:lvl>
  </w:abstractNum>
  <w:abstractNum w:abstractNumId="5">
    <w:nsid w:val="F9539CF3"/>
    <w:multiLevelType w:val="singleLevel"/>
    <w:tmpl w:val="F9539CF3"/>
    <w:lvl w:ilvl="0" w:tentative="0">
      <w:start w:val="1"/>
      <w:numFmt w:val="decimal"/>
      <w:lvlText w:val="%1."/>
      <w:lvlJc w:val="left"/>
      <w:pPr>
        <w:ind w:left="425" w:hanging="425"/>
      </w:pPr>
      <w:rPr>
        <w:rFonts w:hint="default"/>
      </w:rPr>
    </w:lvl>
  </w:abstractNum>
  <w:abstractNum w:abstractNumId="6">
    <w:nsid w:val="051FF8A0"/>
    <w:multiLevelType w:val="singleLevel"/>
    <w:tmpl w:val="051FF8A0"/>
    <w:lvl w:ilvl="0" w:tentative="0">
      <w:start w:val="1"/>
      <w:numFmt w:val="decimal"/>
      <w:lvlText w:val="%1."/>
      <w:lvlJc w:val="left"/>
      <w:pPr>
        <w:ind w:left="425" w:hanging="425"/>
      </w:pPr>
      <w:rPr>
        <w:rFonts w:hint="default"/>
      </w:rPr>
    </w:lvl>
  </w:abstractNum>
  <w:num w:numId="1">
    <w:abstractNumId w:val="1"/>
  </w:num>
  <w:num w:numId="2">
    <w:abstractNumId w:val="4"/>
  </w:num>
  <w:num w:numId="3">
    <w:abstractNumId w:val="2"/>
  </w:num>
  <w:num w:numId="4">
    <w:abstractNumId w:val="3"/>
  </w:num>
  <w:num w:numId="5">
    <w:abstractNumId w:val="5"/>
  </w:num>
  <w:num w:numId="6">
    <w:abstractNumId w:val="6"/>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5B00597"/>
    <w:rsid w:val="755B29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2713</Words>
  <Characters>2966</Characters>
  <Lines>0</Lines>
  <Paragraphs>0</Paragraphs>
  <TotalTime>0</TotalTime>
  <ScaleCrop>false</ScaleCrop>
  <LinksUpToDate>false</LinksUpToDate>
  <CharactersWithSpaces>3048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2026-05-24T16:08:56Z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