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F1E7A8">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29487"/>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8">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14:paraId="0CFBE38C">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0100"/>
      <w:r>
        <w:rPr>
          <w:rFonts w:hint="eastAsia"/>
          <w:lang w:val="en-US" w:eastAsia="zh-CN"/>
        </w:rPr>
        <w:t>运维服务内审管理制度</w:t>
      </w:r>
      <w:bookmarkEnd w:id="1"/>
    </w:p>
    <w:p w14:paraId="49EA5ADA">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文件编号：ZGS-04-06</w:t>
      </w:r>
      <w:r>
        <w:rPr>
          <w:rFonts w:hint="eastAsia" w:ascii="宋体" w:hAnsi="宋体" w:eastAsia="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r>
        <w:rPr>
          <w:rFonts w:ascii="宋体" w:hAnsi="宋体" w:eastAsia="宋体" w:cs="宋体"/>
          <w:b/>
          <w:bCs/>
          <w:spacing w:val="-3"/>
          <w:sz w:val="24"/>
          <w:szCs w:val="24"/>
        </w:rPr>
      </w:r>
      <w:r>
        <w:rPr>
          <w:rFonts w:hint="eastAsia" w:ascii="宋体" w:hAnsi="宋体" w:cs="宋体"/>
          <w:b/>
          <w:bCs/>
          <w:spacing w:val="-3"/>
          <w:sz w:val="24"/>
          <w:szCs w:val="24"/>
          <w:lang w:val="en-US" w:eastAsia="zh-CN"/>
        </w:rPr>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7BB77A4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810" w:hRule="atLeast"/>
          <w:jc w:val="center"/>
        </w:trPr>
        <w:tc>
          <w:tcPr>
            <w:tcW w:w="2432" w:type="dxa"/>
          </w:tcPr>
          <w:p w14:paraId="159884A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编制部门:质量部</w:t>
            </w:r>
            <w:r>
              <w:rPr>
                <w:rFonts w:hint="default" w:asciiTheme="minorAscii" w:hAnsiTheme="minorAscii" w:eastAsiaTheme="minorEastAsia"/>
                <w:spacing w:val="227"/>
                <w:sz w:val="21"/>
                <w:vertAlign w:val="baseline"/>
                <w:lang w:val="en-US" w:eastAsia="zh-CN"/>
              </w:rPr>
            </w:r>
            <w:r>
              <w:rPr>
                <w:rFonts w:hint="eastAsia"/>
                <w:u w:val="single"/>
                <w:vertAlign w:val="baseline"/>
                <w:lang w:val="en-US" w:eastAsia="zh-CN"/>
              </w:rPr>
            </w:r>
          </w:p>
        </w:tc>
        <w:tc>
          <w:tcPr>
            <w:tcW w:w="2708" w:type="dxa"/>
          </w:tcPr>
          <w:p w14:paraId="1A5316C8">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39A5C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6261698B">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3B592C62">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8D96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23B8451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批准人:刘长凡</w:t>
            </w:r>
            <w:r>
              <w:rPr>
                <w:rFonts w:hint="eastAsia"/>
                <w:spacing w:val="1"/>
                <w:kern w:val="0"/>
                <w:vertAlign w:val="baseline"/>
                <w:lang w:val="en-US" w:eastAsia="zh-CN"/>
              </w:rPr>
            </w:r>
            <w:r>
              <w:rPr>
                <w:rFonts w:hint="eastAsia" w:asciiTheme="minorAscii" w:hAnsiTheme="minorAscii" w:eastAsiaTheme="minorEastAsia"/>
                <w:spacing w:val="227"/>
                <w:sz w:val="21"/>
                <w:vertAlign w:val="baseline"/>
                <w:lang w:val="en-US" w:eastAsia="zh-CN"/>
              </w:rPr>
            </w:r>
            <w:r>
              <w:rPr>
                <w:rFonts w:hint="eastAsia"/>
                <w:u w:val="single"/>
                <w:lang w:val="en-US" w:eastAsia="zh-CN"/>
              </w:rPr>
            </w:r>
          </w:p>
        </w:tc>
        <w:tc>
          <w:tcPr>
            <w:tcW w:w="2708" w:type="dxa"/>
          </w:tcPr>
          <w:p w14:paraId="078E60C3">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4842084">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5AF986A9">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7137"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2689"/>
        <w:gridCol w:w="919"/>
        <w:gridCol w:w="2289"/>
        <w:gridCol w:w="1240"/>
      </w:tblGrid>
      <w:tr w14:paraId="09FEE4E2">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2689" w:type="dxa"/>
          </w:tcPr>
          <w:p w14:paraId="2E215358">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3C95A454">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59F3BF9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240" w:type="dxa"/>
          </w:tcPr>
          <w:p w14:paraId="57E94795">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62B1B0DC">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2689" w:type="dxa"/>
          </w:tcPr>
          <w:p w14:paraId="6BC1E7E6">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19" w:type="dxa"/>
          </w:tcPr>
          <w:p w14:paraId="6F9C31B6">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6656FBAF">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新建</w:t>
            </w:r>
          </w:p>
        </w:tc>
        <w:tc>
          <w:tcPr>
            <w:tcW w:w="1240" w:type="dxa"/>
          </w:tcPr>
          <w:p w14:paraId="333FD0F4">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lang w:val="en-US" w:eastAsia="zh-CN"/>
              </w:rPr>
              <w:t>刘长凡</w:t>
            </w:r>
          </w:p>
        </w:tc>
      </w:tr>
      <w:tr w14:paraId="443BBA5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2CFDFEF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107BEF6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569817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05250E5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48AA980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2689" w:type="dxa"/>
          </w:tcPr>
          <w:p w14:paraId="4F273F4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64F1AF9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7C96A08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0E6BE9E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16C7060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2689" w:type="dxa"/>
          </w:tcPr>
          <w:p w14:paraId="2617AD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9" w:type="dxa"/>
          </w:tcPr>
          <w:p w14:paraId="4A92C53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2289" w:type="dxa"/>
          </w:tcPr>
          <w:p w14:paraId="297BDB7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240" w:type="dxa"/>
          </w:tcPr>
          <w:p w14:paraId="3F20689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032BE942">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052AFF8">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963FFD2">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_Toc29487 </w:instrText>
          </w:r>
          <w:r>
            <w:rPr>
              <w:rFonts w:hint="eastAsia" w:ascii="宋体" w:hAnsi="宋体" w:eastAsia="宋体" w:cs="宋体"/>
              <w:szCs w:val="24"/>
            </w:rPr>
            <w:fldChar w:fldCharType="separate"/>
          </w:r>
          <w:r>
            <w:rPr>
              <w:rFonts w:hint="eastAsia"/>
              <w:lang w:val="en-US" w:eastAsia="zh-CN"/>
            </w:rPr>
            <w:t>重庆市鹧鸪哨信息技术有限责任公司</w:t>
          </w:r>
          <w:r>
            <w:tab/>
          </w:r>
          <w:r>
            <w:fldChar w:fldCharType="begin"/>
          </w:r>
          <w:r>
            <w:instrText xml:space="preserve"> PAGEREF _Toc29487 \h </w:instrText>
          </w:r>
          <w:r>
            <w:fldChar w:fldCharType="separate"/>
          </w:r>
          <w:r>
            <w:t>1</w:t>
          </w:r>
          <w:r>
            <w:fldChar w:fldCharType="end"/>
          </w:r>
          <w:r>
            <w:rPr>
              <w:rFonts w:hint="eastAsia" w:ascii="宋体" w:hAnsi="宋体" w:eastAsia="宋体" w:cs="宋体"/>
              <w:szCs w:val="24"/>
            </w:rPr>
            <w:fldChar w:fldCharType="end"/>
          </w:r>
        </w:p>
        <w:p w14:paraId="3BE1B9E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_Toc20100 </w:instrText>
          </w:r>
          <w:r>
            <w:rPr>
              <w:rFonts w:hint="eastAsia" w:ascii="宋体" w:hAnsi="宋体" w:eastAsia="宋体" w:cs="宋体"/>
              <w:szCs w:val="24"/>
            </w:rPr>
            <w:fldChar w:fldCharType="separate"/>
          </w:r>
          <w:r>
            <w:rPr>
              <w:rFonts w:hint="eastAsia"/>
              <w:lang w:val="en-US" w:eastAsia="zh-CN"/>
            </w:rPr>
            <w:t>运维服务内审管理制度</w:t>
          </w:r>
          <w:r>
            <w:tab/>
          </w:r>
          <w:r>
            <w:fldChar w:fldCharType="begin"/>
          </w:r>
          <w:r>
            <w:instrText xml:space="preserve"> PAGEREF _Toc20100 \h </w:instrText>
          </w:r>
          <w:r>
            <w:fldChar w:fldCharType="separate"/>
          </w:r>
          <w:r>
            <w:t>1</w:t>
          </w:r>
          <w:r>
            <w:fldChar w:fldCharType="end"/>
          </w:r>
          <w:r>
            <w:rPr>
              <w:rFonts w:hint="eastAsia" w:ascii="宋体" w:hAnsi="宋体" w:eastAsia="宋体" w:cs="宋体"/>
              <w:szCs w:val="24"/>
            </w:rPr>
            <w:fldChar w:fldCharType="end"/>
          </w:r>
        </w:p>
        <w:p w14:paraId="711EFCD3">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_Toc12116 </w:instrText>
          </w:r>
          <w:r>
            <w:rPr>
              <w:rFonts w:hint="eastAsia" w:ascii="宋体" w:hAnsi="宋体" w:eastAsia="宋体" w:cs="宋体"/>
              <w:szCs w:val="24"/>
            </w:rPr>
            <w:fldChar w:fldCharType="separate"/>
          </w:r>
          <w:r>
            <w:rPr>
              <w:rFonts w:hint="default"/>
            </w:rPr>
            <w:t xml:space="preserve">1. </w:t>
          </w:r>
          <w:r>
            <w:rPr>
              <w:rFonts w:hint="eastAsia"/>
              <w:lang w:val="en-US" w:eastAsia="zh-CN"/>
            </w:rPr>
            <w:t>总则</w:t>
          </w:r>
          <w:r>
            <w:tab/>
          </w:r>
          <w:r>
            <w:fldChar w:fldCharType="begin"/>
          </w:r>
          <w:r>
            <w:instrText xml:space="preserve"> PAGEREF _Toc12116 \h </w:instrText>
          </w:r>
          <w:r>
            <w:fldChar w:fldCharType="separate"/>
          </w:r>
          <w:r>
            <w:t>5</w:t>
          </w:r>
          <w:r>
            <w:fldChar w:fldCharType="end"/>
          </w:r>
          <w:r>
            <w:rPr>
              <w:rFonts w:hint="eastAsia" w:ascii="宋体" w:hAnsi="宋体" w:eastAsia="宋体" w:cs="宋体"/>
              <w:szCs w:val="24"/>
            </w:rPr>
            <w:fldChar w:fldCharType="end"/>
          </w:r>
        </w:p>
        <w:p w14:paraId="3075D76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_Toc3690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_Toc3690 \h </w:instrText>
          </w:r>
          <w:r>
            <w:fldChar w:fldCharType="separate"/>
          </w:r>
          <w:r>
            <w:t>5</w:t>
          </w:r>
          <w:r>
            <w:fldChar w:fldCharType="end"/>
          </w:r>
          <w:r>
            <w:rPr>
              <w:rFonts w:hint="eastAsia" w:ascii="宋体" w:hAnsi="宋体" w:eastAsia="宋体" w:cs="宋体"/>
              <w:szCs w:val="24"/>
            </w:rPr>
            <w:fldChar w:fldCharType="end"/>
          </w:r>
        </w:p>
        <w:p w14:paraId="3F27E8E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_Toc7876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_Toc7876 \h </w:instrText>
          </w:r>
          <w:r>
            <w:fldChar w:fldCharType="separate"/>
          </w:r>
          <w:r>
            <w:t>5</w:t>
          </w:r>
          <w:r>
            <w:fldChar w:fldCharType="end"/>
          </w:r>
          <w:r>
            <w:rPr>
              <w:rFonts w:hint="eastAsia" w:ascii="宋体" w:hAnsi="宋体" w:eastAsia="宋体" w:cs="宋体"/>
              <w:szCs w:val="24"/>
            </w:rPr>
            <w:fldChar w:fldCharType="end"/>
          </w:r>
        </w:p>
        <w:p w14:paraId="7DD74FE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_Toc3669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_Toc3669 \h </w:instrText>
          </w:r>
          <w:r>
            <w:fldChar w:fldCharType="separate"/>
          </w:r>
          <w:r>
            <w:t>5</w:t>
          </w:r>
          <w:r>
            <w:fldChar w:fldCharType="end"/>
          </w:r>
          <w:r>
            <w:rPr>
              <w:rFonts w:hint="eastAsia" w:ascii="宋体" w:hAnsi="宋体" w:eastAsia="宋体" w:cs="宋体"/>
              <w:szCs w:val="24"/>
            </w:rPr>
            <w:fldChar w:fldCharType="end"/>
          </w:r>
        </w:p>
        <w:p w14:paraId="33B1551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_Toc8570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_Toc8570 \h </w:instrText>
          </w:r>
          <w:r>
            <w:fldChar w:fldCharType="separate"/>
          </w:r>
          <w:r>
            <w:t>5</w:t>
          </w:r>
          <w:r>
            <w:fldChar w:fldCharType="end"/>
          </w:r>
          <w:r>
            <w:rPr>
              <w:rFonts w:hint="eastAsia" w:ascii="宋体" w:hAnsi="宋体" w:eastAsia="宋体" w:cs="宋体"/>
              <w:szCs w:val="24"/>
            </w:rPr>
            <w:fldChar w:fldCharType="end"/>
          </w:r>
        </w:p>
        <w:p w14:paraId="5E2862B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_Toc14194 </w:instrText>
          </w:r>
          <w:r>
            <w:rPr>
              <w:rFonts w:hint="eastAsia" w:ascii="宋体" w:hAnsi="宋体" w:eastAsia="宋体" w:cs="宋体"/>
              <w:szCs w:val="24"/>
            </w:rPr>
            <w:fldChar w:fldCharType="separate"/>
          </w:r>
          <w:r>
            <w:rPr>
              <w:rFonts w:hint="default"/>
              <w:lang w:val="en-US" w:eastAsia="zh-CN"/>
            </w:rPr>
            <w:t>1.4.1. 管理者代表</w:t>
          </w:r>
          <w:r>
            <w:tab/>
          </w:r>
          <w:r>
            <w:fldChar w:fldCharType="begin"/>
          </w:r>
          <w:r>
            <w:instrText xml:space="preserve"> PAGEREF _Toc14194 \h </w:instrText>
          </w:r>
          <w:r>
            <w:fldChar w:fldCharType="separate"/>
          </w:r>
          <w:r>
            <w:t>5</w:t>
          </w:r>
          <w:r>
            <w:fldChar w:fldCharType="end"/>
          </w:r>
          <w:r>
            <w:rPr>
              <w:rFonts w:hint="eastAsia" w:ascii="宋体" w:hAnsi="宋体" w:eastAsia="宋体" w:cs="宋体"/>
              <w:szCs w:val="24"/>
            </w:rPr>
            <w:fldChar w:fldCharType="end"/>
          </w:r>
        </w:p>
        <w:p w14:paraId="34B5C77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_Toc26757 </w:instrText>
          </w:r>
          <w:r>
            <w:rPr>
              <w:rFonts w:hint="eastAsia" w:ascii="宋体" w:hAnsi="宋体" w:eastAsia="宋体" w:cs="宋体"/>
              <w:szCs w:val="24"/>
            </w:rPr>
            <w:fldChar w:fldCharType="separate"/>
          </w:r>
          <w:r>
            <w:rPr>
              <w:rFonts w:hint="default"/>
              <w:lang w:val="en-US" w:eastAsia="zh-CN"/>
            </w:rPr>
            <w:t>1.4.2. 内审组长</w:t>
          </w:r>
          <w:r>
            <w:tab/>
          </w:r>
          <w:r>
            <w:fldChar w:fldCharType="begin"/>
          </w:r>
          <w:r>
            <w:instrText xml:space="preserve"> PAGEREF _Toc26757 \h </w:instrText>
          </w:r>
          <w:r>
            <w:fldChar w:fldCharType="separate"/>
          </w:r>
          <w:r>
            <w:t>5</w:t>
          </w:r>
          <w:r>
            <w:fldChar w:fldCharType="end"/>
          </w:r>
          <w:r>
            <w:rPr>
              <w:rFonts w:hint="eastAsia" w:ascii="宋体" w:hAnsi="宋体" w:eastAsia="宋体" w:cs="宋体"/>
              <w:szCs w:val="24"/>
            </w:rPr>
            <w:fldChar w:fldCharType="end"/>
          </w:r>
        </w:p>
        <w:p w14:paraId="57F072C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_Toc6343 </w:instrText>
          </w:r>
          <w:r>
            <w:rPr>
              <w:rFonts w:hint="eastAsia" w:ascii="宋体" w:hAnsi="宋体" w:eastAsia="宋体" w:cs="宋体"/>
              <w:szCs w:val="24"/>
            </w:rPr>
            <w:fldChar w:fldCharType="separate"/>
          </w:r>
          <w:r>
            <w:rPr>
              <w:rFonts w:hint="default"/>
              <w:lang w:val="en-US" w:eastAsia="zh-CN"/>
            </w:rPr>
            <w:t>1.4.3. 内审员</w:t>
          </w:r>
          <w:r>
            <w:tab/>
          </w:r>
          <w:r>
            <w:fldChar w:fldCharType="begin"/>
          </w:r>
          <w:r>
            <w:instrText xml:space="preserve"> PAGEREF _Toc6343 \h </w:instrText>
          </w:r>
          <w:r>
            <w:fldChar w:fldCharType="separate"/>
          </w:r>
          <w:r>
            <w:t>5</w:t>
          </w:r>
          <w:r>
            <w:fldChar w:fldCharType="end"/>
          </w:r>
          <w:r>
            <w:rPr>
              <w:rFonts w:hint="eastAsia" w:ascii="宋体" w:hAnsi="宋体" w:eastAsia="宋体" w:cs="宋体"/>
              <w:szCs w:val="24"/>
            </w:rPr>
            <w:fldChar w:fldCharType="end"/>
          </w:r>
        </w:p>
        <w:p w14:paraId="383289C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_Toc10304 </w:instrText>
          </w:r>
          <w:r>
            <w:rPr>
              <w:rFonts w:hint="eastAsia" w:ascii="宋体" w:hAnsi="宋体" w:eastAsia="宋体" w:cs="宋体"/>
              <w:szCs w:val="24"/>
            </w:rPr>
            <w:fldChar w:fldCharType="separate"/>
          </w:r>
          <w:r>
            <w:rPr>
              <w:rFonts w:hint="default"/>
              <w:lang w:val="en-US" w:eastAsia="zh-CN"/>
            </w:rPr>
            <w:t>1.4.4. 受审部门</w:t>
          </w:r>
          <w:r>
            <w:tab/>
          </w:r>
          <w:r>
            <w:fldChar w:fldCharType="begin"/>
          </w:r>
          <w:r>
            <w:instrText xml:space="preserve"> PAGEREF _Toc10304 \h </w:instrText>
          </w:r>
          <w:r>
            <w:fldChar w:fldCharType="separate"/>
          </w:r>
          <w:r>
            <w:t>5</w:t>
          </w:r>
          <w:r>
            <w:fldChar w:fldCharType="end"/>
          </w:r>
          <w:r>
            <w:rPr>
              <w:rFonts w:hint="eastAsia" w:ascii="宋体" w:hAnsi="宋体" w:eastAsia="宋体" w:cs="宋体"/>
              <w:szCs w:val="24"/>
            </w:rPr>
            <w:fldChar w:fldCharType="end"/>
          </w:r>
        </w:p>
        <w:p w14:paraId="086E883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_Toc6408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_Toc6408 \h </w:instrText>
          </w:r>
          <w:r>
            <w:fldChar w:fldCharType="separate"/>
          </w:r>
          <w:r>
            <w:t>6</w:t>
          </w:r>
          <w:r>
            <w:fldChar w:fldCharType="end"/>
          </w:r>
          <w:r>
            <w:rPr>
              <w:rFonts w:hint="eastAsia" w:ascii="宋体" w:hAnsi="宋体" w:eastAsia="宋体" w:cs="宋体"/>
              <w:szCs w:val="24"/>
            </w:rPr>
            <w:fldChar w:fldCharType="end"/>
          </w:r>
        </w:p>
        <w:p w14:paraId="41BA281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_Toc10568 </w:instrText>
          </w:r>
          <w:r>
            <w:rPr>
              <w:rFonts w:hint="eastAsia" w:ascii="宋体" w:hAnsi="宋体" w:eastAsia="宋体" w:cs="宋体"/>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_Toc10568 \h </w:instrText>
          </w:r>
          <w:r>
            <w:fldChar w:fldCharType="separate"/>
          </w:r>
          <w:r>
            <w:t>6</w:t>
          </w:r>
          <w:r>
            <w:fldChar w:fldCharType="end"/>
          </w:r>
          <w:r>
            <w:rPr>
              <w:rFonts w:hint="eastAsia" w:ascii="宋体" w:hAnsi="宋体" w:eastAsia="宋体" w:cs="宋体"/>
              <w:szCs w:val="24"/>
            </w:rPr>
            <w:fldChar w:fldCharType="end"/>
          </w:r>
        </w:p>
        <w:p w14:paraId="69F8D94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_Toc20524 </w:instrText>
          </w:r>
          <w:r>
            <w:rPr>
              <w:rFonts w:hint="eastAsia" w:ascii="宋体" w:hAnsi="宋体" w:eastAsia="宋体" w:cs="宋体"/>
              <w:szCs w:val="24"/>
            </w:rPr>
            <w:fldChar w:fldCharType="separate"/>
          </w:r>
          <w:r>
            <w:rPr>
              <w:rFonts w:hint="default"/>
            </w:rPr>
            <w:t xml:space="preserve">3.1. </w:t>
          </w:r>
          <w:r>
            <w:rPr>
              <w:rFonts w:hint="eastAsia"/>
            </w:rPr>
            <w:t>内部审核</w:t>
          </w:r>
          <w:r>
            <w:tab/>
          </w:r>
          <w:r>
            <w:fldChar w:fldCharType="begin"/>
          </w:r>
          <w:r>
            <w:instrText xml:space="preserve"> PAGEREF _Toc20524 \h </w:instrText>
          </w:r>
          <w:r>
            <w:fldChar w:fldCharType="separate"/>
          </w:r>
          <w:r>
            <w:t>6</w:t>
          </w:r>
          <w:r>
            <w:fldChar w:fldCharType="end"/>
          </w:r>
          <w:r>
            <w:rPr>
              <w:rFonts w:hint="eastAsia" w:ascii="宋体" w:hAnsi="宋体" w:eastAsia="宋体" w:cs="宋体"/>
              <w:szCs w:val="24"/>
            </w:rPr>
            <w:fldChar w:fldCharType="end"/>
          </w:r>
        </w:p>
        <w:p w14:paraId="4E919D0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_Toc5700 </w:instrText>
          </w:r>
          <w:r>
            <w:rPr>
              <w:rFonts w:hint="eastAsia" w:ascii="宋体" w:hAnsi="宋体" w:eastAsia="宋体" w:cs="宋体"/>
              <w:szCs w:val="24"/>
            </w:rPr>
            <w:fldChar w:fldCharType="separate"/>
          </w:r>
          <w:r>
            <w:rPr>
              <w:rFonts w:hint="default"/>
            </w:rPr>
            <w:t xml:space="preserve">3.2. </w:t>
          </w:r>
          <w:r>
            <w:rPr>
              <w:rFonts w:hint="eastAsia"/>
            </w:rPr>
            <w:t>不符合项</w:t>
          </w:r>
          <w:r>
            <w:tab/>
          </w:r>
          <w:r>
            <w:fldChar w:fldCharType="begin"/>
          </w:r>
          <w:r>
            <w:instrText xml:space="preserve"> PAGEREF _Toc5700 \h </w:instrText>
          </w:r>
          <w:r>
            <w:fldChar w:fldCharType="separate"/>
          </w:r>
          <w:r>
            <w:t>6</w:t>
          </w:r>
          <w:r>
            <w:fldChar w:fldCharType="end"/>
          </w:r>
          <w:r>
            <w:rPr>
              <w:rFonts w:hint="eastAsia" w:ascii="宋体" w:hAnsi="宋体" w:eastAsia="宋体" w:cs="宋体"/>
              <w:szCs w:val="24"/>
            </w:rPr>
            <w:fldChar w:fldCharType="end"/>
          </w:r>
        </w:p>
        <w:p w14:paraId="2FBA9BD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_Toc3751 </w:instrText>
          </w:r>
          <w:r>
            <w:rPr>
              <w:rFonts w:hint="eastAsia" w:ascii="宋体" w:hAnsi="宋体" w:eastAsia="宋体" w:cs="宋体"/>
              <w:szCs w:val="24"/>
            </w:rPr>
            <w:fldChar w:fldCharType="separate"/>
          </w:r>
          <w:r>
            <w:rPr>
              <w:rFonts w:hint="default"/>
            </w:rPr>
            <w:t xml:space="preserve">3.3. </w:t>
          </w:r>
          <w:r>
            <w:rPr>
              <w:rFonts w:hint="eastAsia"/>
            </w:rPr>
            <w:t>观察项</w:t>
          </w:r>
          <w:r>
            <w:tab/>
          </w:r>
          <w:r>
            <w:fldChar w:fldCharType="begin"/>
          </w:r>
          <w:r>
            <w:instrText xml:space="preserve"> PAGEREF _Toc3751 \h </w:instrText>
          </w:r>
          <w:r>
            <w:fldChar w:fldCharType="separate"/>
          </w:r>
          <w:r>
            <w:t>6</w:t>
          </w:r>
          <w:r>
            <w:fldChar w:fldCharType="end"/>
          </w:r>
          <w:r>
            <w:rPr>
              <w:rFonts w:hint="eastAsia" w:ascii="宋体" w:hAnsi="宋体" w:eastAsia="宋体" w:cs="宋体"/>
              <w:szCs w:val="24"/>
            </w:rPr>
            <w:fldChar w:fldCharType="end"/>
          </w:r>
        </w:p>
        <w:p w14:paraId="5DF9246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_Toc5295 </w:instrText>
          </w:r>
          <w:r>
            <w:rPr>
              <w:rFonts w:hint="eastAsia" w:ascii="宋体" w:hAnsi="宋体" w:eastAsia="宋体" w:cs="宋体"/>
              <w:szCs w:val="24"/>
            </w:rPr>
            <w:fldChar w:fldCharType="separate"/>
          </w:r>
          <w:r>
            <w:rPr>
              <w:rFonts w:hint="default"/>
            </w:rPr>
            <w:t xml:space="preserve">3.4. </w:t>
          </w:r>
          <w:r>
            <w:rPr>
              <w:rFonts w:hint="eastAsia"/>
            </w:rPr>
            <w:t>纠正措施</w:t>
          </w:r>
          <w:r>
            <w:tab/>
          </w:r>
          <w:r>
            <w:fldChar w:fldCharType="begin"/>
          </w:r>
          <w:r>
            <w:instrText xml:space="preserve"> PAGEREF _Toc5295 \h </w:instrText>
          </w:r>
          <w:r>
            <w:fldChar w:fldCharType="separate"/>
          </w:r>
          <w:r>
            <w:t>6</w:t>
          </w:r>
          <w:r>
            <w:fldChar w:fldCharType="end"/>
          </w:r>
          <w:r>
            <w:rPr>
              <w:rFonts w:hint="eastAsia" w:ascii="宋体" w:hAnsi="宋体" w:eastAsia="宋体" w:cs="宋体"/>
              <w:szCs w:val="24"/>
            </w:rPr>
            <w:fldChar w:fldCharType="end"/>
          </w:r>
        </w:p>
        <w:p w14:paraId="16AA253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_Toc1904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_Toc1904 \h </w:instrText>
          </w:r>
          <w:r>
            <w:fldChar w:fldCharType="separate"/>
          </w:r>
          <w:r>
            <w:t>6</w:t>
          </w:r>
          <w:r>
            <w:fldChar w:fldCharType="end"/>
          </w:r>
          <w:r>
            <w:rPr>
              <w:rFonts w:hint="eastAsia" w:ascii="宋体" w:hAnsi="宋体" w:eastAsia="宋体" w:cs="宋体"/>
              <w:szCs w:val="24"/>
            </w:rPr>
            <w:fldChar w:fldCharType="end"/>
          </w:r>
        </w:p>
        <w:p w14:paraId="0FE6F90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_Toc26960 </w:instrText>
          </w:r>
          <w:r>
            <w:rPr>
              <w:rFonts w:hint="eastAsia" w:ascii="宋体" w:hAnsi="宋体" w:eastAsia="宋体" w:cs="宋体"/>
              <w:szCs w:val="24"/>
            </w:rPr>
            <w:fldChar w:fldCharType="separate"/>
          </w:r>
          <w:r>
            <w:rPr>
              <w:rFonts w:hint="default"/>
              <w:lang w:val="en-US" w:eastAsia="zh-CN"/>
            </w:rPr>
            <w:t>4.1. 内审策划</w:t>
          </w:r>
          <w:r>
            <w:tab/>
          </w:r>
          <w:r>
            <w:fldChar w:fldCharType="begin"/>
          </w:r>
          <w:r>
            <w:instrText xml:space="preserve"> PAGEREF _Toc26960 \h </w:instrText>
          </w:r>
          <w:r>
            <w:fldChar w:fldCharType="separate"/>
          </w:r>
          <w:r>
            <w:t>6</w:t>
          </w:r>
          <w:r>
            <w:fldChar w:fldCharType="end"/>
          </w:r>
          <w:r>
            <w:rPr>
              <w:rFonts w:hint="eastAsia" w:ascii="宋体" w:hAnsi="宋体" w:eastAsia="宋体" w:cs="宋体"/>
              <w:szCs w:val="24"/>
            </w:rPr>
            <w:fldChar w:fldCharType="end"/>
          </w:r>
        </w:p>
        <w:p w14:paraId="51087F7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_Toc31549 </w:instrText>
          </w:r>
          <w:r>
            <w:rPr>
              <w:rFonts w:hint="eastAsia" w:ascii="宋体" w:hAnsi="宋体" w:eastAsia="宋体" w:cs="宋体"/>
              <w:szCs w:val="24"/>
            </w:rPr>
            <w:fldChar w:fldCharType="separate"/>
          </w:r>
          <w:r>
            <w:rPr>
              <w:rFonts w:hint="default"/>
              <w:lang w:val="en-US" w:eastAsia="zh-CN"/>
            </w:rPr>
            <w:t>4.1.1. 内审频次</w:t>
          </w:r>
          <w:r>
            <w:tab/>
          </w:r>
          <w:r>
            <w:fldChar w:fldCharType="begin"/>
          </w:r>
          <w:r>
            <w:instrText xml:space="preserve"> PAGEREF _Toc31549 \h </w:instrText>
          </w:r>
          <w:r>
            <w:fldChar w:fldCharType="separate"/>
          </w:r>
          <w:r>
            <w:t>6</w:t>
          </w:r>
          <w:r>
            <w:fldChar w:fldCharType="end"/>
          </w:r>
          <w:r>
            <w:rPr>
              <w:rFonts w:hint="eastAsia" w:ascii="宋体" w:hAnsi="宋体" w:eastAsia="宋体" w:cs="宋体"/>
              <w:szCs w:val="24"/>
            </w:rPr>
            <w:fldChar w:fldCharType="end"/>
          </w:r>
        </w:p>
        <w:p w14:paraId="1676814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_Toc11515 </w:instrText>
          </w:r>
          <w:r>
            <w:rPr>
              <w:rFonts w:hint="eastAsia" w:ascii="宋体" w:hAnsi="宋体" w:eastAsia="宋体" w:cs="宋体"/>
              <w:szCs w:val="24"/>
            </w:rPr>
            <w:fldChar w:fldCharType="separate"/>
          </w:r>
          <w:r>
            <w:rPr>
              <w:rFonts w:hint="default"/>
              <w:lang w:val="en-US" w:eastAsia="zh-CN"/>
            </w:rPr>
            <w:t>4.1.2. 内审计划</w:t>
          </w:r>
          <w:r>
            <w:tab/>
          </w:r>
          <w:r>
            <w:fldChar w:fldCharType="begin"/>
          </w:r>
          <w:r>
            <w:instrText xml:space="preserve"> PAGEREF _Toc11515 \h </w:instrText>
          </w:r>
          <w:r>
            <w:fldChar w:fldCharType="separate"/>
          </w:r>
          <w:r>
            <w:t>7</w:t>
          </w:r>
          <w:r>
            <w:fldChar w:fldCharType="end"/>
          </w:r>
          <w:r>
            <w:rPr>
              <w:rFonts w:hint="eastAsia" w:ascii="宋体" w:hAnsi="宋体" w:eastAsia="宋体" w:cs="宋体"/>
              <w:szCs w:val="24"/>
            </w:rPr>
            <w:fldChar w:fldCharType="end"/>
          </w:r>
        </w:p>
        <w:p w14:paraId="212D85D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_Toc30366 </w:instrText>
          </w:r>
          <w:r>
            <w:rPr>
              <w:rFonts w:hint="eastAsia" w:ascii="宋体" w:hAnsi="宋体" w:eastAsia="宋体" w:cs="宋体"/>
              <w:szCs w:val="24"/>
            </w:rPr>
            <w:fldChar w:fldCharType="separate"/>
          </w:r>
          <w:r>
            <w:rPr>
              <w:rFonts w:hint="default"/>
              <w:lang w:val="en-US" w:eastAsia="zh-CN"/>
            </w:rPr>
            <w:t>4.2. 内审准备</w:t>
          </w:r>
          <w:r>
            <w:tab/>
          </w:r>
          <w:r>
            <w:fldChar w:fldCharType="begin"/>
          </w:r>
          <w:r>
            <w:instrText xml:space="preserve"> PAGEREF _Toc30366 \h </w:instrText>
          </w:r>
          <w:r>
            <w:fldChar w:fldCharType="separate"/>
          </w:r>
          <w:r>
            <w:t>7</w:t>
          </w:r>
          <w:r>
            <w:fldChar w:fldCharType="end"/>
          </w:r>
          <w:r>
            <w:rPr>
              <w:rFonts w:hint="eastAsia" w:ascii="宋体" w:hAnsi="宋体" w:eastAsia="宋体" w:cs="宋体"/>
              <w:szCs w:val="24"/>
            </w:rPr>
            <w:fldChar w:fldCharType="end"/>
          </w:r>
        </w:p>
        <w:p w14:paraId="48F80DE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_Toc31953 </w:instrText>
          </w:r>
          <w:r>
            <w:rPr>
              <w:rFonts w:hint="eastAsia" w:ascii="宋体" w:hAnsi="宋体" w:eastAsia="宋体" w:cs="宋体"/>
              <w:szCs w:val="24"/>
            </w:rPr>
            <w:fldChar w:fldCharType="separate"/>
          </w:r>
          <w:r>
            <w:rPr>
              <w:rFonts w:hint="default"/>
              <w:lang w:val="en-US" w:eastAsia="zh-CN"/>
            </w:rPr>
            <w:t>4.2.1. 组建审核组</w:t>
          </w:r>
          <w:r>
            <w:tab/>
          </w:r>
          <w:r>
            <w:fldChar w:fldCharType="begin"/>
          </w:r>
          <w:r>
            <w:instrText xml:space="preserve"> PAGEREF _Toc31953 \h </w:instrText>
          </w:r>
          <w:r>
            <w:fldChar w:fldCharType="separate"/>
          </w:r>
          <w:r>
            <w:t>7</w:t>
          </w:r>
          <w:r>
            <w:fldChar w:fldCharType="end"/>
          </w:r>
          <w:r>
            <w:rPr>
              <w:rFonts w:hint="eastAsia" w:ascii="宋体" w:hAnsi="宋体" w:eastAsia="宋体" w:cs="宋体"/>
              <w:szCs w:val="24"/>
            </w:rPr>
            <w:fldChar w:fldCharType="end"/>
          </w:r>
        </w:p>
        <w:p w14:paraId="7B05A85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_Toc469 </w:instrText>
          </w:r>
          <w:r>
            <w:rPr>
              <w:rFonts w:hint="eastAsia" w:ascii="宋体" w:hAnsi="宋体" w:eastAsia="宋体" w:cs="宋体"/>
              <w:szCs w:val="24"/>
            </w:rPr>
            <w:fldChar w:fldCharType="separate"/>
          </w:r>
          <w:r>
            <w:rPr>
              <w:rFonts w:hint="default"/>
              <w:lang w:val="en-US" w:eastAsia="zh-CN"/>
            </w:rPr>
            <w:t>4.2.2. 编制审核文件</w:t>
          </w:r>
          <w:r>
            <w:tab/>
          </w:r>
          <w:r>
            <w:fldChar w:fldCharType="begin"/>
          </w:r>
          <w:r>
            <w:instrText xml:space="preserve"> PAGEREF _Toc469 \h </w:instrText>
          </w:r>
          <w:r>
            <w:fldChar w:fldCharType="separate"/>
          </w:r>
          <w:r>
            <w:t>7</w:t>
          </w:r>
          <w:r>
            <w:fldChar w:fldCharType="end"/>
          </w:r>
          <w:r>
            <w:rPr>
              <w:rFonts w:hint="eastAsia" w:ascii="宋体" w:hAnsi="宋体" w:eastAsia="宋体" w:cs="宋体"/>
              <w:szCs w:val="24"/>
            </w:rPr>
            <w:fldChar w:fldCharType="end"/>
          </w:r>
        </w:p>
        <w:p w14:paraId="16F4205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_Toc10529 </w:instrText>
          </w:r>
          <w:r>
            <w:rPr>
              <w:rFonts w:hint="eastAsia" w:ascii="宋体" w:hAnsi="宋体" w:eastAsia="宋体" w:cs="宋体"/>
              <w:szCs w:val="24"/>
            </w:rPr>
            <w:fldChar w:fldCharType="separate"/>
          </w:r>
          <w:r>
            <w:rPr>
              <w:rFonts w:hint="default"/>
              <w:lang w:val="en-US" w:eastAsia="zh-CN"/>
            </w:rPr>
            <w:t>4.2.3. 审核前沟通</w:t>
          </w:r>
          <w:r>
            <w:tab/>
          </w:r>
          <w:r>
            <w:fldChar w:fldCharType="begin"/>
          </w:r>
          <w:r>
            <w:instrText xml:space="preserve"> PAGEREF _Toc10529 \h </w:instrText>
          </w:r>
          <w:r>
            <w:fldChar w:fldCharType="separate"/>
          </w:r>
          <w:r>
            <w:t>7</w:t>
          </w:r>
          <w:r>
            <w:fldChar w:fldCharType="end"/>
          </w:r>
          <w:r>
            <w:rPr>
              <w:rFonts w:hint="eastAsia" w:ascii="宋体" w:hAnsi="宋体" w:eastAsia="宋体" w:cs="宋体"/>
              <w:szCs w:val="24"/>
            </w:rPr>
            <w:fldChar w:fldCharType="end"/>
          </w:r>
        </w:p>
        <w:p w14:paraId="1EAB254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_Toc22693 </w:instrText>
          </w:r>
          <w:r>
            <w:rPr>
              <w:rFonts w:hint="eastAsia" w:ascii="宋体" w:hAnsi="宋体" w:eastAsia="宋体" w:cs="宋体"/>
              <w:szCs w:val="24"/>
            </w:rPr>
            <w:fldChar w:fldCharType="separate"/>
          </w:r>
          <w:r>
            <w:rPr>
              <w:rFonts w:hint="default"/>
              <w:lang w:val="en-US" w:eastAsia="zh-CN"/>
            </w:rPr>
            <w:t>4.3. 内审实施</w:t>
          </w:r>
          <w:r>
            <w:tab/>
          </w:r>
          <w:r>
            <w:fldChar w:fldCharType="begin"/>
          </w:r>
          <w:r>
            <w:instrText xml:space="preserve"> PAGEREF _Toc22693 \h </w:instrText>
          </w:r>
          <w:r>
            <w:fldChar w:fldCharType="separate"/>
          </w:r>
          <w:r>
            <w:t>8</w:t>
          </w:r>
          <w:r>
            <w:fldChar w:fldCharType="end"/>
          </w:r>
          <w:r>
            <w:rPr>
              <w:rFonts w:hint="eastAsia" w:ascii="宋体" w:hAnsi="宋体" w:eastAsia="宋体" w:cs="宋体"/>
              <w:szCs w:val="24"/>
            </w:rPr>
            <w:fldChar w:fldCharType="end"/>
          </w:r>
        </w:p>
        <w:p w14:paraId="06EED54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_Toc16523 </w:instrText>
          </w:r>
          <w:r>
            <w:rPr>
              <w:rFonts w:hint="eastAsia" w:ascii="宋体" w:hAnsi="宋体" w:eastAsia="宋体" w:cs="宋体"/>
              <w:szCs w:val="24"/>
            </w:rPr>
            <w:fldChar w:fldCharType="separate"/>
          </w:r>
          <w:r>
            <w:rPr>
              <w:rFonts w:hint="default"/>
              <w:lang w:val="en-US" w:eastAsia="zh-CN"/>
            </w:rPr>
            <w:t>4.3.1. 首次会议</w:t>
          </w:r>
          <w:r>
            <w:tab/>
          </w:r>
          <w:r>
            <w:fldChar w:fldCharType="begin"/>
          </w:r>
          <w:r>
            <w:instrText xml:space="preserve"> PAGEREF _Toc16523 \h </w:instrText>
          </w:r>
          <w:r>
            <w:fldChar w:fldCharType="separate"/>
          </w:r>
          <w:r>
            <w:t>8</w:t>
          </w:r>
          <w:r>
            <w:fldChar w:fldCharType="end"/>
          </w:r>
          <w:r>
            <w:rPr>
              <w:rFonts w:hint="eastAsia" w:ascii="宋体" w:hAnsi="宋体" w:eastAsia="宋体" w:cs="宋体"/>
              <w:szCs w:val="24"/>
            </w:rPr>
            <w:fldChar w:fldCharType="end"/>
          </w:r>
        </w:p>
        <w:p w14:paraId="66B4660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_Toc12659 </w:instrText>
          </w:r>
          <w:r>
            <w:rPr>
              <w:rFonts w:hint="eastAsia" w:ascii="宋体" w:hAnsi="宋体" w:eastAsia="宋体" w:cs="宋体"/>
              <w:szCs w:val="24"/>
            </w:rPr>
            <w:fldChar w:fldCharType="separate"/>
          </w:r>
          <w:r>
            <w:rPr>
              <w:rFonts w:hint="default"/>
              <w:lang w:val="en-US" w:eastAsia="zh-CN"/>
            </w:rPr>
            <w:t>4.3.2. 现场审核</w:t>
          </w:r>
          <w:r>
            <w:tab/>
          </w:r>
          <w:r>
            <w:fldChar w:fldCharType="begin"/>
          </w:r>
          <w:r>
            <w:instrText xml:space="preserve"> PAGEREF _Toc12659 \h </w:instrText>
          </w:r>
          <w:r>
            <w:fldChar w:fldCharType="separate"/>
          </w:r>
          <w:r>
            <w:t>8</w:t>
          </w:r>
          <w:r>
            <w:fldChar w:fldCharType="end"/>
          </w:r>
          <w:r>
            <w:rPr>
              <w:rFonts w:hint="eastAsia" w:ascii="宋体" w:hAnsi="宋体" w:eastAsia="宋体" w:cs="宋体"/>
              <w:szCs w:val="24"/>
            </w:rPr>
            <w:fldChar w:fldCharType="end"/>
          </w:r>
        </w:p>
        <w:p w14:paraId="05B2CDD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_Toc288 </w:instrText>
          </w:r>
          <w:r>
            <w:rPr>
              <w:rFonts w:hint="eastAsia" w:ascii="宋体" w:hAnsi="宋体" w:eastAsia="宋体" w:cs="宋体"/>
              <w:szCs w:val="24"/>
            </w:rPr>
            <w:fldChar w:fldCharType="separate"/>
          </w:r>
          <w:r>
            <w:rPr>
              <w:rFonts w:hint="default"/>
              <w:lang w:val="en-US" w:eastAsia="zh-CN"/>
            </w:rPr>
            <w:t>4.3.3. 审核发现评定</w:t>
          </w:r>
          <w:r>
            <w:tab/>
          </w:r>
          <w:r>
            <w:fldChar w:fldCharType="begin"/>
          </w:r>
          <w:r>
            <w:instrText xml:space="preserve"> PAGEREF _Toc288 \h </w:instrText>
          </w:r>
          <w:r>
            <w:fldChar w:fldCharType="separate"/>
          </w:r>
          <w:r>
            <w:t>8</w:t>
          </w:r>
          <w:r>
            <w:fldChar w:fldCharType="end"/>
          </w:r>
          <w:r>
            <w:rPr>
              <w:rFonts w:hint="eastAsia" w:ascii="宋体" w:hAnsi="宋体" w:eastAsia="宋体" w:cs="宋体"/>
              <w:szCs w:val="24"/>
            </w:rPr>
            <w:fldChar w:fldCharType="end"/>
          </w:r>
        </w:p>
        <w:p w14:paraId="32231B6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_Toc5725 </w:instrText>
          </w:r>
          <w:r>
            <w:rPr>
              <w:rFonts w:hint="eastAsia" w:ascii="宋体" w:hAnsi="宋体" w:eastAsia="宋体" w:cs="宋体"/>
              <w:szCs w:val="24"/>
            </w:rPr>
            <w:fldChar w:fldCharType="separate"/>
          </w:r>
          <w:r>
            <w:rPr>
              <w:rFonts w:hint="default"/>
              <w:lang w:val="en-US" w:eastAsia="zh-CN"/>
            </w:rPr>
            <w:t>4.4. 审核报告与跟踪</w:t>
          </w:r>
          <w:r>
            <w:tab/>
          </w:r>
          <w:r>
            <w:fldChar w:fldCharType="begin"/>
          </w:r>
          <w:r>
            <w:instrText xml:space="preserve"> PAGEREF _Toc5725 \h </w:instrText>
          </w:r>
          <w:r>
            <w:fldChar w:fldCharType="separate"/>
          </w:r>
          <w:r>
            <w:t>8</w:t>
          </w:r>
          <w:r>
            <w:fldChar w:fldCharType="end"/>
          </w:r>
          <w:r>
            <w:rPr>
              <w:rFonts w:hint="eastAsia" w:ascii="宋体" w:hAnsi="宋体" w:eastAsia="宋体" w:cs="宋体"/>
              <w:szCs w:val="24"/>
            </w:rPr>
            <w:fldChar w:fldCharType="end"/>
          </w:r>
        </w:p>
        <w:p w14:paraId="5FAE22F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_Toc18316 </w:instrText>
          </w:r>
          <w:r>
            <w:rPr>
              <w:rFonts w:hint="eastAsia" w:ascii="宋体" w:hAnsi="宋体" w:eastAsia="宋体" w:cs="宋体"/>
              <w:szCs w:val="24"/>
            </w:rPr>
            <w:fldChar w:fldCharType="separate"/>
          </w:r>
          <w:r>
            <w:rPr>
              <w:rFonts w:hint="default"/>
              <w:lang w:val="en-US" w:eastAsia="zh-CN"/>
            </w:rPr>
            <w:t>4.4.1. 末次会议</w:t>
          </w:r>
          <w:r>
            <w:tab/>
          </w:r>
          <w:r>
            <w:fldChar w:fldCharType="begin"/>
          </w:r>
          <w:r>
            <w:instrText xml:space="preserve"> PAGEREF _Toc18316 \h </w:instrText>
          </w:r>
          <w:r>
            <w:fldChar w:fldCharType="separate"/>
          </w:r>
          <w:r>
            <w:t>8</w:t>
          </w:r>
          <w:r>
            <w:fldChar w:fldCharType="end"/>
          </w:r>
          <w:r>
            <w:rPr>
              <w:rFonts w:hint="eastAsia" w:ascii="宋体" w:hAnsi="宋体" w:eastAsia="宋体" w:cs="宋体"/>
              <w:szCs w:val="24"/>
            </w:rPr>
            <w:fldChar w:fldCharType="end"/>
          </w:r>
        </w:p>
        <w:p w14:paraId="72E93A0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_Toc10303 </w:instrText>
          </w:r>
          <w:r>
            <w:rPr>
              <w:rFonts w:hint="eastAsia" w:ascii="宋体" w:hAnsi="宋体" w:eastAsia="宋体" w:cs="宋体"/>
              <w:szCs w:val="24"/>
            </w:rPr>
            <w:fldChar w:fldCharType="separate"/>
          </w:r>
          <w:r>
            <w:rPr>
              <w:rFonts w:hint="default"/>
              <w:lang w:val="en-US" w:eastAsia="zh-CN"/>
            </w:rPr>
            <w:t>4.4.2. 审核报告</w:t>
          </w:r>
          <w:r>
            <w:tab/>
          </w:r>
          <w:r>
            <w:fldChar w:fldCharType="begin"/>
          </w:r>
          <w:r>
            <w:instrText xml:space="preserve"> PAGEREF _Toc10303 \h </w:instrText>
          </w:r>
          <w:r>
            <w:fldChar w:fldCharType="separate"/>
          </w:r>
          <w:r>
            <w:t>8</w:t>
          </w:r>
          <w:r>
            <w:fldChar w:fldCharType="end"/>
          </w:r>
          <w:r>
            <w:rPr>
              <w:rFonts w:hint="eastAsia" w:ascii="宋体" w:hAnsi="宋体" w:eastAsia="宋体" w:cs="宋体"/>
              <w:szCs w:val="24"/>
            </w:rPr>
            <w:fldChar w:fldCharType="end"/>
          </w:r>
        </w:p>
        <w:p w14:paraId="39A783D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_Toc5265 </w:instrText>
          </w:r>
          <w:r>
            <w:rPr>
              <w:rFonts w:hint="eastAsia" w:ascii="宋体" w:hAnsi="宋体" w:eastAsia="宋体" w:cs="宋体"/>
              <w:szCs w:val="24"/>
            </w:rPr>
            <w:fldChar w:fldCharType="separate"/>
          </w:r>
          <w:r>
            <w:rPr>
              <w:rFonts w:hint="default"/>
              <w:lang w:val="en-US" w:eastAsia="zh-CN"/>
            </w:rPr>
            <w:t>4.4.3. 纠正措施跟踪</w:t>
          </w:r>
          <w:r>
            <w:tab/>
          </w:r>
          <w:r>
            <w:fldChar w:fldCharType="begin"/>
          </w:r>
          <w:r>
            <w:instrText xml:space="preserve"> PAGEREF _Toc5265 \h </w:instrText>
          </w:r>
          <w:r>
            <w:fldChar w:fldCharType="separate"/>
          </w:r>
          <w:r>
            <w:t>9</w:t>
          </w:r>
          <w:r>
            <w:fldChar w:fldCharType="end"/>
          </w:r>
          <w:r>
            <w:rPr>
              <w:rFonts w:hint="eastAsia" w:ascii="宋体" w:hAnsi="宋体" w:eastAsia="宋体" w:cs="宋体"/>
              <w:szCs w:val="24"/>
            </w:rPr>
            <w:fldChar w:fldCharType="end"/>
          </w:r>
        </w:p>
        <w:p w14:paraId="46A6FAF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_Toc8901 </w:instrText>
          </w:r>
          <w:r>
            <w:rPr>
              <w:rFonts w:hint="eastAsia" w:ascii="宋体" w:hAnsi="宋体" w:eastAsia="宋体" w:cs="宋体"/>
              <w:szCs w:val="24"/>
            </w:rPr>
            <w:fldChar w:fldCharType="separate"/>
          </w:r>
          <w:r>
            <w:rPr>
              <w:rFonts w:hint="default"/>
              <w:lang w:val="en-US" w:eastAsia="zh-CN"/>
            </w:rPr>
            <w:t>4.5. 记录管理</w:t>
          </w:r>
          <w:r>
            <w:tab/>
          </w:r>
          <w:r>
            <w:fldChar w:fldCharType="begin"/>
          </w:r>
          <w:r>
            <w:instrText xml:space="preserve"> PAGEREF _Toc8901 \h </w:instrText>
          </w:r>
          <w:r>
            <w:fldChar w:fldCharType="separate"/>
          </w:r>
          <w:r>
            <w:t>9</w:t>
          </w:r>
          <w:r>
            <w:fldChar w:fldCharType="end"/>
          </w:r>
          <w:r>
            <w:rPr>
              <w:rFonts w:hint="eastAsia" w:ascii="宋体" w:hAnsi="宋体" w:eastAsia="宋体" w:cs="宋体"/>
              <w:szCs w:val="24"/>
            </w:rPr>
            <w:fldChar w:fldCharType="end"/>
          </w:r>
        </w:p>
        <w:p w14:paraId="3CD88D0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_Toc17246 </w:instrText>
          </w:r>
          <w:r>
            <w:rPr>
              <w:rFonts w:hint="eastAsia" w:ascii="宋体" w:hAnsi="宋体" w:eastAsia="宋体" w:cs="宋体"/>
              <w:szCs w:val="24"/>
            </w:rPr>
            <w:fldChar w:fldCharType="separate"/>
          </w:r>
          <w:r>
            <w:rPr>
              <w:rFonts w:hint="default"/>
              <w:lang w:val="en-US" w:eastAsia="zh-CN"/>
            </w:rPr>
            <w:t>4.5.1. 记录要求</w:t>
          </w:r>
          <w:r>
            <w:tab/>
          </w:r>
          <w:r>
            <w:fldChar w:fldCharType="begin"/>
          </w:r>
          <w:r>
            <w:instrText xml:space="preserve"> PAGEREF _Toc17246 \h </w:instrText>
          </w:r>
          <w:r>
            <w:fldChar w:fldCharType="separate"/>
          </w:r>
          <w:r>
            <w:t>9</w:t>
          </w:r>
          <w:r>
            <w:fldChar w:fldCharType="end"/>
          </w:r>
          <w:r>
            <w:rPr>
              <w:rFonts w:hint="eastAsia" w:ascii="宋体" w:hAnsi="宋体" w:eastAsia="宋体" w:cs="宋体"/>
              <w:szCs w:val="24"/>
            </w:rPr>
            <w:fldChar w:fldCharType="end"/>
          </w:r>
        </w:p>
        <w:p w14:paraId="33D9C30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_Toc29158 </w:instrText>
          </w:r>
          <w:r>
            <w:rPr>
              <w:rFonts w:hint="eastAsia" w:ascii="宋体" w:hAnsi="宋体" w:eastAsia="宋体" w:cs="宋体"/>
              <w:szCs w:val="24"/>
            </w:rPr>
            <w:fldChar w:fldCharType="separate"/>
          </w:r>
          <w:r>
            <w:rPr>
              <w:rFonts w:hint="default"/>
              <w:lang w:val="en-US" w:eastAsia="zh-CN"/>
            </w:rPr>
            <w:t>4.5.2. 归档管理</w:t>
          </w:r>
          <w:r>
            <w:tab/>
          </w:r>
          <w:r>
            <w:fldChar w:fldCharType="begin"/>
          </w:r>
          <w:r>
            <w:instrText xml:space="preserve"> PAGEREF _Toc29158 \h </w:instrText>
          </w:r>
          <w:r>
            <w:fldChar w:fldCharType="separate"/>
          </w:r>
          <w:r>
            <w:t>9</w:t>
          </w:r>
          <w:r>
            <w:fldChar w:fldCharType="end"/>
          </w:r>
          <w:r>
            <w:rPr>
              <w:rFonts w:hint="eastAsia" w:ascii="宋体" w:hAnsi="宋体" w:eastAsia="宋体" w:cs="宋体"/>
              <w:szCs w:val="24"/>
            </w:rPr>
            <w:fldChar w:fldCharType="end"/>
          </w:r>
        </w:p>
        <w:p w14:paraId="5D435D6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_Toc8064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考核指标</w:t>
          </w:r>
          <w:r>
            <w:tab/>
          </w:r>
          <w:r>
            <w:fldChar w:fldCharType="begin"/>
          </w:r>
          <w:r>
            <w:instrText xml:space="preserve"> PAGEREF _Toc8064 \h </w:instrText>
          </w:r>
          <w:r>
            <w:fldChar w:fldCharType="separate"/>
          </w:r>
          <w:r>
            <w:t>9</w:t>
          </w:r>
          <w:r>
            <w:fldChar w:fldCharType="end"/>
          </w:r>
          <w:r>
            <w:rPr>
              <w:rFonts w:hint="eastAsia" w:ascii="宋体" w:hAnsi="宋体" w:eastAsia="宋体" w:cs="宋体"/>
              <w:szCs w:val="24"/>
            </w:rPr>
            <w:fldChar w:fldCharType="end"/>
          </w:r>
        </w:p>
        <w:p w14:paraId="34C82D2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_Toc27791 </w:instrText>
          </w:r>
          <w:r>
            <w:rPr>
              <w:rFonts w:hint="eastAsia" w:ascii="宋体" w:hAnsi="宋体" w:eastAsia="宋体" w:cs="宋体"/>
              <w:szCs w:val="24"/>
            </w:rPr>
            <w:fldChar w:fldCharType="separate"/>
          </w:r>
          <w:r>
            <w:rPr>
              <w:rFonts w:hint="default" w:eastAsia="宋体"/>
              <w:lang w:val="en-US" w:eastAsia="zh-CN"/>
            </w:rPr>
            <w:t xml:space="preserve">5. </w:t>
          </w:r>
          <w:r>
            <w:rPr>
              <w:rFonts w:hint="eastAsia" w:eastAsia="宋体"/>
              <w:lang w:val="en-US" w:eastAsia="zh-CN"/>
            </w:rPr>
            <w:t>附则</w:t>
          </w:r>
          <w:r>
            <w:tab/>
          </w:r>
          <w:r>
            <w:fldChar w:fldCharType="begin"/>
          </w:r>
          <w:r>
            <w:instrText xml:space="preserve"> PAGEREF _Toc27791 \h </w:instrText>
          </w:r>
          <w:r>
            <w:fldChar w:fldCharType="separate"/>
          </w:r>
          <w:r>
            <w:t>9</w:t>
          </w:r>
          <w:r>
            <w:fldChar w:fldCharType="end"/>
          </w:r>
          <w:r>
            <w:rPr>
              <w:rFonts w:hint="eastAsia" w:ascii="宋体" w:hAnsi="宋体" w:eastAsia="宋体" w:cs="宋体"/>
              <w:szCs w:val="24"/>
            </w:rPr>
            <w:fldChar w:fldCharType="end"/>
          </w:r>
        </w:p>
        <w:p w14:paraId="4AAEF52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_Toc16257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_Toc16257 \h </w:instrText>
          </w:r>
          <w:r>
            <w:fldChar w:fldCharType="separate"/>
          </w:r>
          <w:r>
            <w:t>10</w:t>
          </w:r>
          <w:r>
            <w:fldChar w:fldCharType="end"/>
          </w:r>
          <w:r>
            <w:rPr>
              <w:rFonts w:hint="eastAsia" w:ascii="宋体" w:hAnsi="宋体" w:eastAsia="宋体" w:cs="宋体"/>
              <w:szCs w:val="24"/>
            </w:rPr>
            <w:fldChar w:fldCharType="end"/>
          </w:r>
        </w:p>
        <w:p w14:paraId="3C231477">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6A7123D3">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6446391">
      <w:pPr>
        <w:pStyle w:val="28"/>
        <w:keepNext w:val="0"/>
        <w:keepLines w:val="0"/>
        <w:pageBreakBefore w:val="0"/>
        <w:widowControl w:val="0"/>
        <w:kinsoku w:val="0"/>
        <w:wordWrap/>
        <w:overflowPunct/>
        <w:autoSpaceDE w:val="0"/>
        <w:autoSpaceDN w:val="0"/>
        <w:bidi w:val="0"/>
        <w:adjustRightInd w:val="0"/>
        <w:snapToGrid w:val="0"/>
        <w:textAlignment w:val="baseline"/>
      </w:pPr>
      <w:bookmarkStart w:id="2" w:name="_Toc12116"/>
      <w:r>
        <w:rPr>
          <w:rFonts w:hint="eastAsia"/>
          <w:lang w:val="en-US" w:eastAsia="zh-CN"/>
        </w:rPr>
        <w:t>总则</w:t>
      </w:r>
      <w:bookmarkEnd w:id="2"/>
    </w:p>
    <w:p w14:paraId="1AFC6AE1">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 w:name="_Toc3690"/>
      <w:r>
        <w:rPr>
          <w:rFonts w:hint="eastAsia"/>
          <w:lang w:val="en-US" w:eastAsia="zh-CN"/>
        </w:rPr>
        <w:t>目的</w:t>
      </w:r>
      <w:bookmarkEnd w:id="3"/>
    </w:p>
    <w:p w14:paraId="0E2A3BE1">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为规范公司运维服务管理体系的内部审核工作，系统评价运维服务活动对ITSS标准的符合性和有效性，及时发现体系运行中存在的问题，推动持续改进，确保管理体系持续有效运行，特制定本制度。</w:t>
      </w:r>
    </w:p>
    <w:p w14:paraId="0ED3D86D">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7876"/>
      <w:r>
        <w:rPr>
          <w:rFonts w:hint="eastAsia"/>
          <w:lang w:val="en-US" w:eastAsia="zh-CN"/>
        </w:rPr>
        <w:t>适用范围</w:t>
      </w:r>
      <w:bookmarkEnd w:id="4"/>
    </w:p>
    <w:p w14:paraId="2F14968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本制度适用于重庆市鹧鸪哨信息技术有限责任公司运维服务管理体系覆盖的所有部门及服务全过程的内审活动。</w:t>
      </w:r>
    </w:p>
    <w:p w14:paraId="4F9BC702">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3669"/>
      <w:r>
        <w:rPr>
          <w:rFonts w:hint="eastAsia"/>
          <w:lang w:val="en-US" w:eastAsia="zh-CN"/>
        </w:rPr>
        <w:t>原则</w:t>
      </w:r>
      <w:bookmarkEnd w:id="5"/>
    </w:p>
    <w:p w14:paraId="07E079B1">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客观公正：基于客观证据，公正开展审核活动</w:t>
      </w:r>
    </w:p>
    <w:p w14:paraId="6A1D3EA3">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系统规范：遵循系统方法，规范执行审核程序</w:t>
      </w:r>
    </w:p>
    <w:p w14:paraId="28D79772">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持续改进：注重问题改进，推动体系持续完善</w:t>
      </w:r>
    </w:p>
    <w:p w14:paraId="057C1F8E">
      <w:pPr>
        <w:pStyle w:val="29"/>
        <w:keepNext w:val="0"/>
        <w:keepLines w:val="0"/>
        <w:pageBreakBefore w:val="0"/>
        <w:widowControl w:val="0"/>
        <w:numPr>
          <w:ilvl w:val="0"/>
          <w:numId w:val="2"/>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专业胜任：确保审核人员具备相应资质和能力</w:t>
      </w:r>
    </w:p>
    <w:p w14:paraId="20926F20">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6" w:name="_Toc8570"/>
      <w:r>
        <w:rPr>
          <w:rFonts w:hint="eastAsia"/>
          <w:lang w:val="en-US" w:eastAsia="zh-CN"/>
        </w:rPr>
        <w:t>岗位职责</w:t>
      </w:r>
      <w:bookmarkEnd w:id="6"/>
    </w:p>
    <w:p w14:paraId="3B8FDF2A">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14194"/>
      <w:r>
        <w:rPr>
          <w:rFonts w:hint="default"/>
          <w:lang w:val="en-US" w:eastAsia="zh-CN"/>
        </w:rPr>
        <w:t>管理者代表</w:t>
      </w:r>
      <w:bookmarkEnd w:id="7"/>
    </w:p>
    <w:p w14:paraId="0B7496BD">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负责内审工作的总体策划和资源保障，任命内审组长</w:t>
      </w:r>
    </w:p>
    <w:p w14:paraId="1555D07C">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8" w:name="_Toc26757"/>
      <w:r>
        <w:rPr>
          <w:rFonts w:hint="default"/>
          <w:lang w:val="en-US" w:eastAsia="zh-CN"/>
        </w:rPr>
        <w:t>内审组长</w:t>
      </w:r>
      <w:bookmarkEnd w:id="8"/>
    </w:p>
    <w:p w14:paraId="7696B2D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负责具体内审活动的组织与实施，编制审核计划，组织编写审核报告</w:t>
      </w:r>
    </w:p>
    <w:p w14:paraId="5693227A">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9" w:name="_Toc6343"/>
      <w:r>
        <w:rPr>
          <w:rFonts w:hint="default"/>
          <w:lang w:val="en-US" w:eastAsia="zh-CN"/>
        </w:rPr>
        <w:t>内审员</w:t>
      </w:r>
      <w:bookmarkEnd w:id="9"/>
    </w:p>
    <w:p w14:paraId="77FF4F7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按分工实施审核活动，收集审核证据，报告审核发现</w:t>
      </w:r>
      <w:r>
        <w:rPr>
          <w:rFonts w:hint="eastAsia"/>
          <w:lang w:val="en-US" w:eastAsia="zh-CN"/>
        </w:rPr>
        <w:t>问题。一般由各运维相关部门部长担任</w:t>
      </w:r>
    </w:p>
    <w:p w14:paraId="0E68944F">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0" w:name="_Toc10304"/>
      <w:r>
        <w:rPr>
          <w:rFonts w:hint="default"/>
          <w:lang w:val="en-US" w:eastAsia="zh-CN"/>
        </w:rPr>
        <w:t>受审部门</w:t>
      </w:r>
      <w:bookmarkEnd w:id="10"/>
    </w:p>
    <w:p w14:paraId="1E14503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配合内审工作，提供所需资源，实施纠正措施</w:t>
      </w:r>
    </w:p>
    <w:p w14:paraId="2AF92EF8">
      <w:pPr>
        <w:pStyle w:val="28"/>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1" w:name="_Toc6408"/>
      <w:r>
        <w:rPr>
          <w:rFonts w:hint="eastAsia"/>
          <w:lang w:val="en-US" w:eastAsia="zh-CN"/>
        </w:rPr>
        <w:t>引用依据</w:t>
      </w:r>
      <w:bookmarkEnd w:id="11"/>
    </w:p>
    <w:p w14:paraId="524A7413">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28827.1-2022 《信息技术服务 运行维护 第1部分：通用要求》</w:t>
      </w:r>
    </w:p>
    <w:p w14:paraId="5E6D6842">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28827.2-2012 《信息技术服务 运行维护 第2部分：交付规范》</w:t>
      </w:r>
    </w:p>
    <w:p w14:paraId="787CE33B">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GB/T 28827.3-2012 《信息技术服务 运行维护 第3部分：应急响应规范》</w:t>
      </w:r>
    </w:p>
    <w:p w14:paraId="372A6936">
      <w:pPr>
        <w:pStyle w:val="29"/>
        <w:keepNext w:val="0"/>
        <w:keepLines w:val="0"/>
        <w:pageBreakBefore w:val="0"/>
        <w:widowControl w:val="0"/>
        <w:numPr>
          <w:ilvl w:val="0"/>
          <w:numId w:val="3"/>
        </w:numPr>
        <w:kinsoku w:val="0"/>
        <w:wordWrap/>
        <w:overflowPunct/>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T/CESA 1299—2023 《信息技术服务 运行维护服务能力成熟度模型》</w:t>
      </w:r>
    </w:p>
    <w:p w14:paraId="108509D1">
      <w:pPr>
        <w:pStyle w:val="28"/>
        <w:keepNext w:val="0"/>
        <w:keepLines w:val="0"/>
        <w:pageBreakBefore w:val="0"/>
        <w:widowControl w:val="0"/>
        <w:kinsoku w:val="0"/>
        <w:wordWrap/>
        <w:overflowPunct/>
        <w:autoSpaceDE w:val="0"/>
        <w:autoSpaceDN w:val="0"/>
        <w:bidi w:val="0"/>
        <w:adjustRightInd w:val="0"/>
        <w:snapToGrid w:val="0"/>
        <w:textAlignment w:val="baseline"/>
      </w:pPr>
      <w:bookmarkStart w:id="12" w:name="_Toc10568"/>
      <w:r>
        <w:rPr>
          <w:rFonts w:hint="eastAsia"/>
          <w:lang w:val="en-US" w:eastAsia="zh-CN"/>
        </w:rPr>
        <w:t>定义与术语</w:t>
      </w:r>
      <w:bookmarkEnd w:id="12"/>
    </w:p>
    <w:p w14:paraId="73DB150D">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3" w:name="_Toc20524"/>
      <w:r>
        <w:rPr>
          <w:rFonts w:hint="eastAsia"/>
        </w:rPr>
        <w:t>内部审核</w:t>
      </w:r>
      <w:bookmarkEnd w:id="13"/>
    </w:p>
    <w:p w14:paraId="12DCB556">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eastAsia="宋体"/>
          <w:lang w:eastAsia="zh-CN"/>
        </w:rPr>
      </w:pPr>
      <w:r>
        <w:rPr>
          <w:rFonts w:hint="eastAsia"/>
        </w:rPr>
        <w:t>为获得审核证据并对其进行客观评价，以确定满足审核准则的程度所进行的系统的、独立的并形成文件的过程</w:t>
      </w:r>
      <w:r>
        <w:rPr>
          <w:rFonts w:hint="eastAsia"/>
          <w:lang w:eastAsia="zh-CN"/>
        </w:rPr>
        <w:t>。</w:t>
      </w:r>
    </w:p>
    <w:p w14:paraId="2095C430">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4" w:name="_Toc5700"/>
      <w:r>
        <w:rPr>
          <w:rFonts w:hint="eastAsia"/>
        </w:rPr>
        <w:t>不符合项</w:t>
      </w:r>
      <w:bookmarkEnd w:id="14"/>
    </w:p>
    <w:p w14:paraId="7495C209">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eastAsia="宋体"/>
          <w:lang w:eastAsia="zh-CN"/>
        </w:rPr>
      </w:pPr>
      <w:r>
        <w:rPr>
          <w:rFonts w:hint="eastAsia"/>
        </w:rPr>
        <w:t>未满足规范、标准或体系文件要求的情况</w:t>
      </w:r>
      <w:r>
        <w:rPr>
          <w:rFonts w:hint="eastAsia"/>
          <w:lang w:eastAsia="zh-CN"/>
        </w:rPr>
        <w:t>。</w:t>
      </w:r>
    </w:p>
    <w:p w14:paraId="72AB69B4">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5" w:name="_Toc3751"/>
      <w:r>
        <w:rPr>
          <w:rFonts w:hint="eastAsia"/>
        </w:rPr>
        <w:t>观察项</w:t>
      </w:r>
      <w:bookmarkEnd w:id="15"/>
    </w:p>
    <w:p w14:paraId="00EEAA4D">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eastAsia="宋体"/>
          <w:lang w:eastAsia="zh-CN"/>
        </w:rPr>
      </w:pPr>
      <w:r>
        <w:rPr>
          <w:rFonts w:hint="eastAsia"/>
        </w:rPr>
        <w:t>虽未构成不符合，但存在潜在风险或需关注的情况</w:t>
      </w:r>
      <w:r>
        <w:rPr>
          <w:rFonts w:hint="eastAsia"/>
          <w:lang w:eastAsia="zh-CN"/>
        </w:rPr>
        <w:t>。</w:t>
      </w:r>
    </w:p>
    <w:p w14:paraId="3C8B720E">
      <w:pPr>
        <w:pStyle w:val="30"/>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6" w:name="_Toc5295"/>
      <w:r>
        <w:rPr>
          <w:rFonts w:hint="eastAsia"/>
        </w:rPr>
        <w:t>纠正措施</w:t>
      </w:r>
      <w:bookmarkEnd w:id="16"/>
    </w:p>
    <w:p w14:paraId="10E4B603">
      <w:pPr>
        <w:pStyle w:val="29"/>
        <w:keepNext w:val="0"/>
        <w:keepLines w:val="0"/>
        <w:pageBreakBefore w:val="0"/>
        <w:widowControl w:val="0"/>
        <w:kinsoku w:val="0"/>
        <w:wordWrap/>
        <w:overflowPunct/>
        <w:autoSpaceDE w:val="0"/>
        <w:autoSpaceDN w:val="0"/>
        <w:bidi w:val="0"/>
        <w:adjustRightInd w:val="0"/>
        <w:snapToGrid w:val="0"/>
        <w:textAlignment w:val="baseline"/>
        <w:rPr>
          <w:rFonts w:hint="eastAsia" w:eastAsia="宋体"/>
          <w:lang w:eastAsia="zh-CN"/>
        </w:rPr>
      </w:pPr>
      <w:r>
        <w:rPr>
          <w:rFonts w:hint="eastAsia"/>
        </w:rPr>
        <w:t>为消除已发现的不合格或其他不期望情况的原因所采取的措施</w:t>
      </w:r>
      <w:r>
        <w:rPr>
          <w:rFonts w:hint="eastAsia"/>
          <w:lang w:eastAsia="zh-CN"/>
        </w:rPr>
        <w:t>。</w:t>
      </w:r>
      <w:bookmarkStart w:id="42" w:name="_GoBack"/>
      <w:bookmarkEnd w:id="42"/>
    </w:p>
    <w:p w14:paraId="1BF76A83">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7" w:name="_Toc1904"/>
      <w:r>
        <w:rPr>
          <w:rFonts w:hint="eastAsia"/>
          <w:lang w:val="en-US" w:eastAsia="zh-CN"/>
        </w:rPr>
        <w:t>管理内容与要求</w:t>
      </w:r>
      <w:bookmarkEnd w:id="17"/>
    </w:p>
    <w:p w14:paraId="13535980">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8" w:name="_Toc26960"/>
      <w:r>
        <w:rPr>
          <w:rFonts w:hint="default"/>
          <w:lang w:val="en-US" w:eastAsia="zh-CN"/>
        </w:rPr>
        <w:t>内审策划</w:t>
      </w:r>
      <w:bookmarkEnd w:id="18"/>
    </w:p>
    <w:p w14:paraId="055A1574">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19" w:name="_Toc31549"/>
      <w:r>
        <w:rPr>
          <w:rFonts w:hint="default"/>
          <w:lang w:val="en-US" w:eastAsia="zh-CN"/>
        </w:rPr>
        <w:t>内审频次</w:t>
      </w:r>
      <w:bookmarkEnd w:id="19"/>
    </w:p>
    <w:p w14:paraId="6CC3835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常规内审每年至少进行一次，间隔不超过12个月</w:t>
      </w:r>
    </w:p>
    <w:p w14:paraId="27B1514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在下列情况下应增加临时内审：</w:t>
      </w:r>
    </w:p>
    <w:p w14:paraId="318BD16A">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组织机构发生重大调整</w:t>
      </w:r>
    </w:p>
    <w:p w14:paraId="2482C7EF">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管理体系发生重大变化</w:t>
      </w:r>
    </w:p>
    <w:p w14:paraId="59AF05D9">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发生重大质量事故或客户重大投诉</w:t>
      </w:r>
    </w:p>
    <w:p w14:paraId="238C8BDD">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认证审核前</w:t>
      </w:r>
    </w:p>
    <w:p w14:paraId="5101B717">
      <w:pPr>
        <w:pStyle w:val="29"/>
        <w:keepNext w:val="0"/>
        <w:keepLines w:val="0"/>
        <w:pageBreakBefore w:val="0"/>
        <w:widowControl w:val="0"/>
        <w:numPr>
          <w:ilvl w:val="0"/>
          <w:numId w:val="4"/>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业务发生重大变更时</w:t>
      </w:r>
    </w:p>
    <w:p w14:paraId="50DF3A17">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0" w:name="_Toc11515"/>
      <w:r>
        <w:rPr>
          <w:rFonts w:hint="default"/>
          <w:lang w:val="en-US" w:eastAsia="zh-CN"/>
        </w:rPr>
        <w:t>内审计划</w:t>
      </w:r>
      <w:bookmarkEnd w:id="20"/>
    </w:p>
    <w:p w14:paraId="657CE85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内审组长应根据体系运行情况和上次审核结果，编制年度内审计划，内容包括：</w:t>
      </w:r>
    </w:p>
    <w:p w14:paraId="2F7D94EE">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审核目的、范围和准则</w:t>
      </w:r>
    </w:p>
    <w:p w14:paraId="7A2F34A4">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受审部门和审核时间</w:t>
      </w:r>
    </w:p>
    <w:p w14:paraId="5C755497">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审核组组成及分工</w:t>
      </w:r>
    </w:p>
    <w:p w14:paraId="4F9297E3">
      <w:pPr>
        <w:pStyle w:val="29"/>
        <w:keepNext w:val="0"/>
        <w:keepLines w:val="0"/>
        <w:pageBreakBefore w:val="0"/>
        <w:widowControl w:val="0"/>
        <w:numPr>
          <w:ilvl w:val="0"/>
          <w:numId w:val="5"/>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资源需求安排</w:t>
      </w:r>
    </w:p>
    <w:p w14:paraId="2A46BD34">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1" w:name="_Toc30366"/>
      <w:r>
        <w:rPr>
          <w:rFonts w:hint="default"/>
          <w:lang w:val="en-US" w:eastAsia="zh-CN"/>
        </w:rPr>
        <w:t>内审准备</w:t>
      </w:r>
      <w:bookmarkEnd w:id="21"/>
    </w:p>
    <w:p w14:paraId="01271865">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2" w:name="_Toc31953"/>
      <w:r>
        <w:rPr>
          <w:rFonts w:hint="default"/>
          <w:lang w:val="en-US" w:eastAsia="zh-CN"/>
        </w:rPr>
        <w:t>组建审核组</w:t>
      </w:r>
      <w:bookmarkEnd w:id="22"/>
    </w:p>
    <w:p w14:paraId="0407C94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管理者代表任命具有相应资质的内审组长</w:t>
      </w:r>
    </w:p>
    <w:p w14:paraId="642D609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内审组长选拔具备资格的内审员组成审核组</w:t>
      </w:r>
    </w:p>
    <w:p w14:paraId="087C146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确保审核员与被审部门无直接责任关系</w:t>
      </w:r>
    </w:p>
    <w:p w14:paraId="37FD96E2">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3" w:name="_Toc469"/>
      <w:r>
        <w:rPr>
          <w:rFonts w:hint="default"/>
          <w:lang w:val="en-US" w:eastAsia="zh-CN"/>
        </w:rPr>
        <w:t>编制审核文件</w:t>
      </w:r>
      <w:bookmarkEnd w:id="23"/>
    </w:p>
    <w:p w14:paraId="6442425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制定具体的内审实施计划</w:t>
      </w:r>
    </w:p>
    <w:p w14:paraId="20BA39F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编制内审检查表，明确检查内容和抽样方案</w:t>
      </w:r>
    </w:p>
    <w:p w14:paraId="47DB903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准备审核所需的记录表格和文件</w:t>
      </w:r>
    </w:p>
    <w:p w14:paraId="1F9E42AC">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4" w:name="_Toc10529"/>
      <w:r>
        <w:rPr>
          <w:rFonts w:hint="default"/>
          <w:lang w:val="en-US" w:eastAsia="zh-CN"/>
        </w:rPr>
        <w:t>审核前沟通</w:t>
      </w:r>
      <w:bookmarkEnd w:id="24"/>
    </w:p>
    <w:p w14:paraId="655BD09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提前5个工作日向受审部门下发审核计划</w:t>
      </w:r>
    </w:p>
    <w:p w14:paraId="6F7976B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确认审核安排和陪同人员</w:t>
      </w:r>
    </w:p>
    <w:p w14:paraId="6357D89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协调解决受审部门提出的问题</w:t>
      </w:r>
    </w:p>
    <w:p w14:paraId="0ED731B8">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5" w:name="_Toc22693"/>
      <w:r>
        <w:rPr>
          <w:rFonts w:hint="default"/>
          <w:lang w:val="en-US" w:eastAsia="zh-CN"/>
        </w:rPr>
        <w:t>内审实施</w:t>
      </w:r>
      <w:bookmarkEnd w:id="25"/>
    </w:p>
    <w:p w14:paraId="0A0E0C9F">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6" w:name="_Toc16523"/>
      <w:r>
        <w:rPr>
          <w:rFonts w:hint="default"/>
          <w:lang w:val="en-US" w:eastAsia="zh-CN"/>
        </w:rPr>
        <w:t>首次会议</w:t>
      </w:r>
      <w:bookmarkEnd w:id="26"/>
    </w:p>
    <w:p w14:paraId="3571BFB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审核组长介绍审核目的、范围和计划</w:t>
      </w:r>
    </w:p>
    <w:p w14:paraId="147EC068">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确认审核安排和沟通渠道</w:t>
      </w:r>
    </w:p>
    <w:p w14:paraId="4C0AEAE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受审部门介绍准备情况和配合人员</w:t>
      </w:r>
    </w:p>
    <w:p w14:paraId="16F96BF5">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7" w:name="_Toc12659"/>
      <w:r>
        <w:rPr>
          <w:rFonts w:hint="default"/>
          <w:lang w:val="en-US" w:eastAsia="zh-CN"/>
        </w:rPr>
        <w:t>现场审核</w:t>
      </w:r>
      <w:bookmarkEnd w:id="27"/>
    </w:p>
    <w:p w14:paraId="6A373A7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通过访谈、观察、查阅记录等方式收集证据</w:t>
      </w:r>
    </w:p>
    <w:p w14:paraId="54C04CC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依据检查表逐项检查体系运行情况</w:t>
      </w:r>
    </w:p>
    <w:p w14:paraId="16BDB44F">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记录符合和不符合的客观证据</w:t>
      </w:r>
    </w:p>
    <w:p w14:paraId="3C75974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发现问题时与受审部门负责人确认</w:t>
      </w:r>
    </w:p>
    <w:p w14:paraId="4362D83B">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8" w:name="_Toc288"/>
      <w:r>
        <w:rPr>
          <w:rFonts w:hint="default"/>
          <w:lang w:val="en-US" w:eastAsia="zh-CN"/>
        </w:rPr>
        <w:t>审核发现评定</w:t>
      </w:r>
      <w:bookmarkEnd w:id="28"/>
    </w:p>
    <w:p w14:paraId="38DF2487">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对照审核准则评定审核发现</w:t>
      </w:r>
    </w:p>
    <w:p w14:paraId="7CFEBCC1">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将问题分为重大不符合、一般不符合和观察项</w:t>
      </w:r>
    </w:p>
    <w:p w14:paraId="229D81DE">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确保发现问题描述准确、证据充分</w:t>
      </w:r>
    </w:p>
    <w:p w14:paraId="6747E4F5">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9" w:name="_Toc5725"/>
      <w:r>
        <w:rPr>
          <w:rFonts w:hint="default"/>
          <w:lang w:val="en-US" w:eastAsia="zh-CN"/>
        </w:rPr>
        <w:t>审核报告与跟踪</w:t>
      </w:r>
      <w:bookmarkEnd w:id="29"/>
    </w:p>
    <w:p w14:paraId="46AE2CFC">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0" w:name="_Toc18316"/>
      <w:r>
        <w:rPr>
          <w:rFonts w:hint="default"/>
          <w:lang w:val="en-US" w:eastAsia="zh-CN"/>
        </w:rPr>
        <w:t>末次会议</w:t>
      </w:r>
      <w:bookmarkEnd w:id="30"/>
    </w:p>
    <w:p w14:paraId="3CBC82E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报告审核发现和审核结论</w:t>
      </w:r>
    </w:p>
    <w:p w14:paraId="3052754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确认不符合项事实</w:t>
      </w:r>
    </w:p>
    <w:p w14:paraId="3C7F8A82">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商定纠正措施完成时限</w:t>
      </w:r>
    </w:p>
    <w:p w14:paraId="4AF8FCB1">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1" w:name="_Toc10303"/>
      <w:r>
        <w:rPr>
          <w:rFonts w:hint="default"/>
          <w:lang w:val="en-US" w:eastAsia="zh-CN"/>
        </w:rPr>
        <w:t>审核报告</w:t>
      </w:r>
      <w:bookmarkEnd w:id="31"/>
    </w:p>
    <w:p w14:paraId="7674C9A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内审组长在审核后5个工作日内完成内审报告，内容包括：</w:t>
      </w:r>
    </w:p>
    <w:p w14:paraId="5516433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审核概况和范围</w:t>
      </w:r>
    </w:p>
    <w:p w14:paraId="1C595713">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审核发现综述</w:t>
      </w:r>
    </w:p>
    <w:p w14:paraId="35B37F8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不符合项分布情况</w:t>
      </w:r>
    </w:p>
    <w:p w14:paraId="1A96567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体系有效性评价</w:t>
      </w:r>
    </w:p>
    <w:p w14:paraId="50E18A7A">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改进建议</w:t>
      </w:r>
    </w:p>
    <w:p w14:paraId="47CD86DC">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2" w:name="_Toc5265"/>
      <w:r>
        <w:rPr>
          <w:rFonts w:hint="default"/>
          <w:lang w:val="en-US" w:eastAsia="zh-CN"/>
        </w:rPr>
        <w:t>纠正措施跟踪</w:t>
      </w:r>
      <w:bookmarkEnd w:id="32"/>
    </w:p>
    <w:p w14:paraId="62273A70">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受审部门在3个工作日内制定纠正措施计划</w:t>
      </w:r>
    </w:p>
    <w:p w14:paraId="13A3FD3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内审组对措施有效性进行验证</w:t>
      </w:r>
    </w:p>
    <w:p w14:paraId="3B144FB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对未达到预期效果的措施要求重新制定</w:t>
      </w:r>
    </w:p>
    <w:p w14:paraId="533D2F6E">
      <w:pPr>
        <w:pStyle w:val="30"/>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3" w:name="_Toc8901"/>
      <w:r>
        <w:rPr>
          <w:rFonts w:hint="default"/>
          <w:lang w:val="en-US" w:eastAsia="zh-CN"/>
        </w:rPr>
        <w:t>记录管理</w:t>
      </w:r>
      <w:bookmarkEnd w:id="33"/>
    </w:p>
    <w:p w14:paraId="3C919304">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4" w:name="_Toc17246"/>
      <w:r>
        <w:rPr>
          <w:rFonts w:hint="default"/>
          <w:lang w:val="en-US" w:eastAsia="zh-CN"/>
        </w:rPr>
        <w:t>记录要求</w:t>
      </w:r>
      <w:bookmarkEnd w:id="34"/>
    </w:p>
    <w:p w14:paraId="78C60355">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所有内审活动应保持完整记录，包括：</w:t>
      </w:r>
    </w:p>
    <w:p w14:paraId="53017A38">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内审计划及检查表</w:t>
      </w:r>
    </w:p>
    <w:p w14:paraId="0F3DF626">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会议和审核记录</w:t>
      </w:r>
    </w:p>
    <w:p w14:paraId="0F2536A6">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不符合项报告</w:t>
      </w:r>
    </w:p>
    <w:p w14:paraId="7418D809">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内审报告</w:t>
      </w:r>
    </w:p>
    <w:p w14:paraId="49DA9800">
      <w:pPr>
        <w:pStyle w:val="29"/>
        <w:keepNext w:val="0"/>
        <w:keepLines w:val="0"/>
        <w:pageBreakBefore w:val="0"/>
        <w:widowControl w:val="0"/>
        <w:numPr>
          <w:ilvl w:val="0"/>
          <w:numId w:val="6"/>
        </w:numPr>
        <w:kinsoku w:val="0"/>
        <w:wordWrap/>
        <w:overflowPunct/>
        <w:autoSpaceDE w:val="0"/>
        <w:autoSpaceDN w:val="0"/>
        <w:bidi w:val="0"/>
        <w:adjustRightInd w:val="0"/>
        <w:snapToGrid w:val="0"/>
        <w:ind w:left="425" w:leftChars="0" w:hanging="425" w:firstLineChars="0"/>
        <w:textAlignment w:val="baseline"/>
        <w:rPr>
          <w:rFonts w:hint="default"/>
          <w:lang w:val="en-US" w:eastAsia="zh-CN"/>
        </w:rPr>
      </w:pPr>
      <w:r>
        <w:rPr>
          <w:rFonts w:hint="default"/>
          <w:lang w:val="en-US" w:eastAsia="zh-CN"/>
        </w:rPr>
        <w:t>纠正措施验证记录</w:t>
      </w:r>
    </w:p>
    <w:p w14:paraId="107D12CE">
      <w:pPr>
        <w:pStyle w:val="3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5" w:name="_Toc29158"/>
      <w:r>
        <w:rPr>
          <w:rFonts w:hint="default"/>
          <w:lang w:val="en-US" w:eastAsia="zh-CN"/>
        </w:rPr>
        <w:t>归档管理</w:t>
      </w:r>
      <w:bookmarkEnd w:id="35"/>
    </w:p>
    <w:p w14:paraId="4C3213D6">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内审组长在末次会议后5个工作日内整理记录</w:t>
      </w:r>
    </w:p>
    <w:p w14:paraId="1EB20BE4">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所有记录提交管理者代表审批</w:t>
      </w:r>
    </w:p>
    <w:p w14:paraId="23456509">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完整记录由质量部统一归档保存</w:t>
      </w:r>
    </w:p>
    <w:p w14:paraId="4C696622">
      <w:pPr>
        <w:pStyle w:val="30"/>
        <w:bidi w:val="0"/>
        <w:rPr>
          <w:rFonts w:hint="default"/>
          <w:lang w:val="en-US" w:eastAsia="zh-CN"/>
        </w:rPr>
      </w:pPr>
      <w:bookmarkStart w:id="36" w:name="_Toc8064"/>
      <w:r>
        <w:rPr>
          <w:rFonts w:hint="eastAsia"/>
          <w:lang w:val="en-US" w:eastAsia="zh-CN"/>
        </w:rPr>
        <w:t>考核指标</w:t>
      </w:r>
      <w:bookmarkEnd w:id="36"/>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3265"/>
        <w:gridCol w:w="996"/>
        <w:gridCol w:w="2131"/>
      </w:tblGrid>
      <w:tr w14:paraId="3E72F3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tcPr>
          <w:p w14:paraId="05064D5F">
            <w:pPr>
              <w:pStyle w:val="29"/>
              <w:widowControl w:val="0"/>
              <w:rPr>
                <w:rFonts w:hint="default"/>
                <w:vertAlign w:val="baseline"/>
                <w:lang w:val="en-US" w:eastAsia="zh-CN"/>
              </w:rPr>
            </w:pPr>
            <w:r>
              <w:rPr>
                <w:rFonts w:hint="eastAsia"/>
                <w:vertAlign w:val="baseline"/>
                <w:lang w:val="en-US" w:eastAsia="zh-CN"/>
              </w:rPr>
              <w:t>指标名称</w:t>
            </w:r>
          </w:p>
        </w:tc>
        <w:tc>
          <w:tcPr>
            <w:tcW w:w="3265" w:type="dxa"/>
          </w:tcPr>
          <w:p w14:paraId="45A1EB30">
            <w:pPr>
              <w:pStyle w:val="29"/>
              <w:widowControl w:val="0"/>
              <w:rPr>
                <w:rFonts w:hint="default"/>
                <w:vertAlign w:val="baseline"/>
                <w:lang w:val="en-US" w:eastAsia="zh-CN"/>
              </w:rPr>
            </w:pPr>
            <w:r>
              <w:rPr>
                <w:rFonts w:hint="eastAsia"/>
                <w:vertAlign w:val="baseline"/>
                <w:lang w:val="en-US" w:eastAsia="zh-CN"/>
              </w:rPr>
              <w:t>计算方式</w:t>
            </w:r>
          </w:p>
        </w:tc>
        <w:tc>
          <w:tcPr>
            <w:tcW w:w="996" w:type="dxa"/>
          </w:tcPr>
          <w:p w14:paraId="4128606F">
            <w:pPr>
              <w:pStyle w:val="29"/>
              <w:widowControl w:val="0"/>
              <w:ind w:left="0" w:leftChars="0" w:firstLine="0" w:firstLineChars="0"/>
              <w:rPr>
                <w:rFonts w:hint="default"/>
                <w:vertAlign w:val="baseline"/>
                <w:lang w:val="en-US" w:eastAsia="zh-CN"/>
              </w:rPr>
            </w:pPr>
            <w:r>
              <w:rPr>
                <w:rFonts w:hint="eastAsia"/>
                <w:vertAlign w:val="baseline"/>
                <w:lang w:val="en-US" w:eastAsia="zh-CN"/>
              </w:rPr>
              <w:t>频次</w:t>
            </w:r>
          </w:p>
        </w:tc>
        <w:tc>
          <w:tcPr>
            <w:tcW w:w="2131" w:type="dxa"/>
          </w:tcPr>
          <w:p w14:paraId="6F77292B">
            <w:pPr>
              <w:pStyle w:val="29"/>
              <w:widowControl w:val="0"/>
              <w:rPr>
                <w:rFonts w:hint="default"/>
                <w:vertAlign w:val="baseline"/>
                <w:lang w:val="en-US" w:eastAsia="zh-CN"/>
              </w:rPr>
            </w:pPr>
            <w:r>
              <w:rPr>
                <w:rFonts w:hint="eastAsia"/>
                <w:vertAlign w:val="baseline"/>
                <w:lang w:val="en-US" w:eastAsia="zh-CN"/>
              </w:rPr>
              <w:t>目标值</w:t>
            </w:r>
          </w:p>
        </w:tc>
      </w:tr>
      <w:tr w14:paraId="6B851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0" w:type="dxa"/>
            <w:shd w:val="clear" w:color="auto" w:fill="auto"/>
          </w:tcPr>
          <w:p w14:paraId="54CC4350">
            <w:pPr>
              <w:pStyle w:val="29"/>
              <w:widowControl w:val="0"/>
              <w:rPr>
                <w:rFonts w:hint="default"/>
                <w:vertAlign w:val="baseline"/>
                <w:lang w:val="en-US" w:eastAsia="zh-CN"/>
              </w:rPr>
            </w:pPr>
            <w:r>
              <w:rPr>
                <w:rFonts w:hint="eastAsia"/>
                <w:vertAlign w:val="baseline"/>
                <w:lang w:val="en-US" w:eastAsia="zh-CN"/>
              </w:rPr>
              <w:t>内审次数</w:t>
            </w:r>
          </w:p>
        </w:tc>
        <w:tc>
          <w:tcPr>
            <w:tcW w:w="3265" w:type="dxa"/>
            <w:shd w:val="clear" w:color="auto" w:fill="auto"/>
          </w:tcPr>
          <w:p w14:paraId="45CE793E">
            <w:pPr>
              <w:pStyle w:val="29"/>
              <w:widowControl w:val="0"/>
              <w:rPr>
                <w:rFonts w:hint="default"/>
                <w:vertAlign w:val="baseline"/>
                <w:lang w:val="en-US" w:eastAsia="zh-CN"/>
              </w:rPr>
            </w:pPr>
            <w:r>
              <w:rPr>
                <w:rFonts w:hint="eastAsia"/>
                <w:vertAlign w:val="baseline"/>
                <w:lang w:val="en-US" w:eastAsia="zh-CN"/>
              </w:rPr>
              <w:t>数量，内审报告数量</w:t>
            </w:r>
          </w:p>
        </w:tc>
        <w:tc>
          <w:tcPr>
            <w:tcW w:w="996" w:type="dxa"/>
            <w:shd w:val="clear" w:color="auto" w:fill="auto"/>
          </w:tcPr>
          <w:p w14:paraId="40C37969">
            <w:pPr>
              <w:pStyle w:val="29"/>
              <w:widowControl w:val="0"/>
              <w:ind w:left="0" w:leftChars="0" w:firstLine="0" w:firstLineChars="0"/>
              <w:rPr>
                <w:rFonts w:hint="default"/>
                <w:vertAlign w:val="baseline"/>
                <w:lang w:val="en-US" w:eastAsia="zh-CN"/>
              </w:rPr>
            </w:pPr>
            <w:r>
              <w:rPr>
                <w:rFonts w:hint="eastAsia"/>
                <w:vertAlign w:val="baseline"/>
                <w:lang w:val="en-US" w:eastAsia="zh-CN"/>
              </w:rPr>
              <w:t>年度</w:t>
            </w:r>
          </w:p>
        </w:tc>
        <w:tc>
          <w:tcPr>
            <w:tcW w:w="2131" w:type="dxa"/>
            <w:shd w:val="clear" w:color="auto" w:fill="auto"/>
          </w:tcPr>
          <w:p w14:paraId="2D730B81">
            <w:pPr>
              <w:pStyle w:val="29"/>
              <w:widowControl w:val="0"/>
              <w:rPr>
                <w:rFonts w:hint="default"/>
                <w:vertAlign w:val="baseline"/>
                <w:lang w:val="en-US" w:eastAsia="zh-CN"/>
              </w:rPr>
            </w:pPr>
            <w:r>
              <w:rPr>
                <w:rFonts w:hint="eastAsia"/>
                <w:vertAlign w:val="baseline"/>
                <w:lang w:val="en-US" w:eastAsia="zh-CN"/>
              </w:rPr>
              <w:t>≥1次</w:t>
            </w:r>
          </w:p>
        </w:tc>
      </w:tr>
    </w:tbl>
    <w:p w14:paraId="2241F6F0">
      <w:pPr>
        <w:pStyle w:val="28"/>
        <w:keepNext w:val="0"/>
        <w:keepLines w:val="0"/>
        <w:pageBreakBefore w:val="0"/>
        <w:widowControl w:val="0"/>
        <w:kinsoku w:val="0"/>
        <w:wordWrap/>
        <w:overflowPunct/>
        <w:autoSpaceDE w:val="0"/>
        <w:autoSpaceDN w:val="0"/>
        <w:bidi w:val="0"/>
        <w:adjustRightInd w:val="0"/>
        <w:snapToGrid w:val="0"/>
        <w:textAlignment w:val="baseline"/>
        <w:rPr>
          <w:rStyle w:val="38"/>
          <w:rFonts w:hint="default" w:eastAsia="宋体"/>
          <w:lang w:val="en-US" w:eastAsia="zh-CN"/>
        </w:rPr>
      </w:pPr>
      <w:bookmarkStart w:id="37" w:name="bookmark3"/>
      <w:bookmarkEnd w:id="37"/>
      <w:bookmarkStart w:id="38" w:name="_Toc17424"/>
      <w:bookmarkStart w:id="39" w:name="_Toc27791"/>
      <w:r>
        <w:rPr>
          <w:rStyle w:val="38"/>
          <w:rFonts w:hint="eastAsia" w:eastAsia="宋体"/>
          <w:lang w:val="en-US" w:eastAsia="zh-CN"/>
        </w:rPr>
        <w:t>附则</w:t>
      </w:r>
      <w:bookmarkEnd w:id="38"/>
      <w:bookmarkEnd w:id="39"/>
    </w:p>
    <w:p w14:paraId="03C297ED">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本制度最终解释权和修订权归质量部。</w:t>
      </w:r>
      <w:r>
        <w:rPr>
          <w:rFonts w:hint="eastAsia" w:ascii="宋体" w:hAnsi="宋体" w:cs="宋体"/>
          <w:spacing w:val="-1"/>
          <w:sz w:val="24"/>
          <w:szCs w:val="24"/>
          <w:lang w:val="en-US" w:eastAsia="zh-CN"/>
        </w:rPr>
      </w:r>
      <w:r>
        <w:rPr>
          <w:rFonts w:ascii="宋体" w:hAnsi="宋体" w:eastAsia="宋体" w:cs="宋体"/>
          <w:spacing w:val="-1"/>
          <w:sz w:val="24"/>
          <w:szCs w:val="24"/>
        </w:rPr>
      </w:r>
    </w:p>
    <w:p w14:paraId="6085FA5B">
      <w:pPr>
        <w:keepNext w:val="0"/>
        <w:keepLines w:val="0"/>
        <w:pageBreakBefore w:val="0"/>
        <w:widowControl w:val="0"/>
        <w:numPr>
          <w:ilvl w:val="0"/>
          <w:numId w:val="7"/>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69D835FF">
      <w:pPr>
        <w:pStyle w:val="28"/>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40" w:name="bookmark14"/>
      <w:bookmarkEnd w:id="40"/>
      <w:bookmarkStart w:id="41" w:name="_Toc16257"/>
      <w:r>
        <w:rPr>
          <w:rFonts w:hint="eastAsia"/>
          <w:lang w:val="en-US" w:eastAsia="zh-CN"/>
        </w:rPr>
        <w:t>附件</w:t>
      </w:r>
      <w:bookmarkEnd w:id="41"/>
    </w:p>
    <w:p w14:paraId="0AA5DEEB">
      <w:pPr>
        <w:pStyle w:val="29"/>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r:id="rId5" w:type="default"/>
      <w:footerReference w:type="default" r:id="rId11"/>
      <w:headerReference w:type="first" r:id="rId12"/>
      <w:footerReference w:type="first" r:id="rId13"/>
      <w:headerReference w:type="even" r:id="rId14"/>
      <w:footerReference w:type="even" r:id="rId15"/>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A008E8">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tab/>
      <w:t>重庆市鹧鸪哨信息技术有限责任公司</w:t>
    </w:r>
    <w:r>
      <w:rPr>
        <w:rFonts w:hint="eastAsia" w:eastAsiaTheme="minorEastAsia"/>
        <w:lang w:val="en-US" w:eastAsia="zh-CN"/>
      </w:rPr>
    </w:r>
    <w:r>
      <w:rPr>
        <w:rFonts w:hint="eastAsia" w:eastAsiaTheme="minorEastAsia"/>
        <w:lang w:val="en-US" w:eastAsia="zh-CN"/>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B90AC3E"/>
    <w:multiLevelType w:val="singleLevel"/>
    <w:tmpl w:val="8B90AC3E"/>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ECE0CEE9"/>
    <w:multiLevelType w:val="singleLevel"/>
    <w:tmpl w:val="ECE0CEE9"/>
    <w:lvl w:ilvl="0" w:tentative="0">
      <w:start w:val="1"/>
      <w:numFmt w:val="decimal"/>
      <w:lvlText w:val="%1."/>
      <w:lvlJc w:val="left"/>
      <w:pPr>
        <w:ind w:left="425" w:hanging="425"/>
      </w:pPr>
      <w:rPr>
        <w:rFonts w:hint="default"/>
      </w:rPr>
    </w:lvl>
  </w:abstractNum>
  <w:abstractNum w:abstractNumId="3">
    <w:nsid w:val="F9539CF3"/>
    <w:multiLevelType w:val="singleLevel"/>
    <w:tmpl w:val="F9539CF3"/>
    <w:lvl w:ilvl="0" w:tentative="0">
      <w:start w:val="1"/>
      <w:numFmt w:val="decimal"/>
      <w:lvlText w:val="%1."/>
      <w:lvlJc w:val="left"/>
      <w:pPr>
        <w:ind w:left="425" w:hanging="425"/>
      </w:pPr>
      <w:rPr>
        <w:rFonts w:hint="default"/>
      </w:rPr>
    </w:lvl>
  </w:abstractNum>
  <w:abstractNum w:abstractNumId="4">
    <w:nsid w:val="0048054F"/>
    <w:multiLevelType w:val="singleLevel"/>
    <w:tmpl w:val="0048054F"/>
    <w:lvl w:ilvl="0" w:tentative="0">
      <w:start w:val="1"/>
      <w:numFmt w:val="decimal"/>
      <w:lvlText w:val="%1."/>
      <w:lvlJc w:val="left"/>
      <w:pPr>
        <w:ind w:left="425" w:hanging="425"/>
      </w:pPr>
      <w:rPr>
        <w:rFonts w:hint="default"/>
      </w:rPr>
    </w:lvl>
  </w:abstractNum>
  <w:abstractNum w:abstractNumId="5">
    <w:nsid w:val="0BE3A18D"/>
    <w:multiLevelType w:val="singleLevel"/>
    <w:tmpl w:val="0BE3A18D"/>
    <w:lvl w:ilvl="0" w:tentative="0">
      <w:start w:val="1"/>
      <w:numFmt w:val="decimal"/>
      <w:lvlText w:val="%1."/>
      <w:lvlJc w:val="left"/>
      <w:pPr>
        <w:ind w:left="425" w:hanging="425"/>
      </w:pPr>
      <w:rPr>
        <w:rFonts w:hint="default"/>
      </w:rPr>
    </w:lvl>
  </w:abstractNum>
  <w:abstractNum w:abstractNumId="6">
    <w:nsid w:val="54C8AD64"/>
    <w:multiLevelType w:val="singleLevel"/>
    <w:tmpl w:val="54C8AD64"/>
    <w:lvl w:ilvl="0" w:tentative="0">
      <w:start w:val="1"/>
      <w:numFmt w:val="decimal"/>
      <w:lvlText w:val="%1."/>
      <w:lvlJc w:val="left"/>
      <w:pPr>
        <w:ind w:left="425" w:hanging="425"/>
      </w:pPr>
      <w:rPr>
        <w:rFonts w:hint="default"/>
      </w:rPr>
    </w:lvl>
  </w:abstractNum>
  <w:num w:numId="1">
    <w:abstractNumId w:val="1"/>
  </w:num>
  <w:num w:numId="2">
    <w:abstractNumId w:val="4"/>
  </w:num>
  <w:num w:numId="3">
    <w:abstractNumId w:val="6"/>
  </w:num>
  <w:num w:numId="4">
    <w:abstractNumId w:val="0"/>
  </w:num>
  <w:num w:numId="5">
    <w:abstractNumId w:val="5"/>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0B36A6E"/>
    <w:rsid w:val="3BF5317F"/>
    <w:rsid w:val="6AAF0A00"/>
    <w:rsid w:val="736E51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 Id="rId11" Type="http://schemas.openxmlformats.org/officeDocument/2006/relationships/footer" Target="footer1.xml"/><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1756</Words>
  <Characters>2002</Characters>
  <Lines>0</Lines>
  <Paragraphs>0</Paragraphs>
  <TotalTime>0</TotalTime>
  <ScaleCrop>false</ScaleCrop>
  <LinksUpToDate>false</LinksUpToDate>
  <CharactersWithSpaces>2093</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2026-05-24T16:16:03Z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