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B7FF6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55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BCBC52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42"/>
      <w:r>
        <w:rPr>
          <w:rFonts w:hint="eastAsia"/>
          <w:lang w:val="en-US" w:eastAsia="zh-CN"/>
        </w:rPr>
        <w:t>运维服务管评管理制度</w:t>
      </w:r>
      <w:bookmarkEnd w:id="1"/>
    </w:p>
    <w:p w14:paraId="48B0A7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文件编号：ZGS-04-07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C740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46453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11325E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D22D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59C04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0712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7" w:name="_GoBack"/>
            <w:bookmarkEnd w:id="37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C8DD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629C1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56F396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77C169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EDA3A2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1F9D4D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0CF31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6EF5A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632BE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539D4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78ADF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EBC0D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04D765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533B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A7036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248324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92510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D4E76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F0199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E6B1A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711A1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7D0E0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DC17D2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D5F5BE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409DD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D4DD8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05015A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F35225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A3CB6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C4A81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D04D8F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19F906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t>目录</w:t>
          </w:r>
        </w:p>
        <w:p w14:paraId="04DEF2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_Toc30557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_Toc30557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E7C39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_Toc2842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运维服务管评管理制度</w:t>
          </w:r>
          <w:r>
            <w:tab/>
          </w:r>
          <w:r>
            <w:fldChar w:fldCharType="begin"/>
          </w:r>
          <w:r>
            <w:instrText xml:space="preserve"> PAGEREF _Toc2842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F5E673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_Toc22408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_Toc22408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2E0F61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_Toc4092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_Toc4092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51BAE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_Toc12113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_Toc12113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B5956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_Toc20848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_Toc20848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CDC66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_Toc7210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_Toc7210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1A6696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_Toc21607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1.4.1. 管理者代表</w:t>
          </w:r>
          <w:r>
            <w:tab/>
          </w:r>
          <w:r>
            <w:fldChar w:fldCharType="begin"/>
          </w:r>
          <w:r>
            <w:instrText xml:space="preserve"> PAGEREF _Toc21607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BA6CFF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_Toc8032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1.4.2. 数据部</w:t>
          </w:r>
          <w:r>
            <w:tab/>
          </w:r>
          <w:r>
            <w:fldChar w:fldCharType="begin"/>
          </w:r>
          <w:r>
            <w:instrText xml:space="preserve"> PAGEREF _Toc8032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05F5C8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_Toc27796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1.4.3. 各相关部门</w:t>
          </w:r>
          <w:r>
            <w:tab/>
          </w:r>
          <w:r>
            <w:fldChar w:fldCharType="begin"/>
          </w:r>
          <w:r>
            <w:instrText xml:space="preserve"> PAGEREF _Toc27796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7B779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_Toc7950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_Toc7950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B1231B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_Toc3090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_Toc3090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722EE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_Toc32673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管理评审</w:t>
          </w:r>
          <w:r>
            <w:tab/>
          </w:r>
          <w:r>
            <w:fldChar w:fldCharType="begin"/>
          </w:r>
          <w:r>
            <w:instrText xml:space="preserve"> PAGEREF _Toc32673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41A4ED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_Toc23888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适宜性</w:t>
          </w:r>
          <w:r>
            <w:tab/>
          </w:r>
          <w:r>
            <w:fldChar w:fldCharType="begin"/>
          </w:r>
          <w:r>
            <w:instrText xml:space="preserve"> PAGEREF _Toc23888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143BA3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_Toc8866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充分性</w:t>
          </w:r>
          <w:r>
            <w:tab/>
          </w:r>
          <w:r>
            <w:fldChar w:fldCharType="begin"/>
          </w:r>
          <w:r>
            <w:instrText xml:space="preserve"> PAGEREF _Toc8866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07F15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_Toc24895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有效性</w:t>
          </w:r>
          <w:r>
            <w:tab/>
          </w:r>
          <w:r>
            <w:fldChar w:fldCharType="begin"/>
          </w:r>
          <w:r>
            <w:instrText xml:space="preserve"> PAGEREF _Toc24895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54BD0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_Toc15515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_Toc15515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BC4D32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_Toc23579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评审频次与时机</w:t>
          </w:r>
          <w:r>
            <w:tab/>
          </w:r>
          <w:r>
            <w:fldChar w:fldCharType="begin"/>
          </w:r>
          <w:r>
            <w:instrText xml:space="preserve"> PAGEREF _Toc23579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67AC5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_Toc17233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评审策划</w:t>
          </w:r>
          <w:r>
            <w:tab/>
          </w:r>
          <w:r>
            <w:fldChar w:fldCharType="begin"/>
          </w:r>
          <w:r>
            <w:instrText xml:space="preserve"> PAGEREF _Toc17233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1C244A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_Toc27967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4.2.1. 评审计划制定</w:t>
          </w:r>
          <w:r>
            <w:tab/>
          </w:r>
          <w:r>
            <w:fldChar w:fldCharType="begin"/>
          </w:r>
          <w:r>
            <w:instrText xml:space="preserve"> PAGEREF _Toc27967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95BD4F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_Toc32429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4.2.2. 评审准备</w:t>
          </w:r>
          <w:r>
            <w:tab/>
          </w:r>
          <w:r>
            <w:fldChar w:fldCharType="begin"/>
          </w:r>
          <w:r>
            <w:instrText xml:space="preserve"> PAGEREF _Toc32429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2AD01B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_Toc21228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评审实施</w:t>
          </w:r>
          <w:r>
            <w:tab/>
          </w:r>
          <w:r>
            <w:fldChar w:fldCharType="begin"/>
          </w:r>
          <w:r>
            <w:instrText xml:space="preserve"> PAGEREF _Toc21228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24FD06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_Toc23046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4.3.1. 评审输入</w:t>
          </w:r>
          <w:r>
            <w:tab/>
          </w:r>
          <w:r>
            <w:fldChar w:fldCharType="begin"/>
          </w:r>
          <w:r>
            <w:instrText xml:space="preserve"> PAGEREF _Toc23046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C64FD6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_Toc8422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4.3.2. 评审会议</w:t>
          </w:r>
          <w:r>
            <w:tab/>
          </w:r>
          <w:r>
            <w:fldChar w:fldCharType="begin"/>
          </w:r>
          <w:r>
            <w:instrText xml:space="preserve"> PAGEREF _Toc8422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FC38D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_Toc16558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评审输出</w:t>
          </w:r>
          <w:r>
            <w:tab/>
          </w:r>
          <w:r>
            <w:fldChar w:fldCharType="begin"/>
          </w:r>
          <w:r>
            <w:instrText xml:space="preserve"> PAGEREF _Toc16558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2FAEBF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_Toc10576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4.4.1. 评审结论</w:t>
          </w:r>
          <w:r>
            <w:tab/>
          </w:r>
          <w:r>
            <w:fldChar w:fldCharType="begin"/>
          </w:r>
          <w:r>
            <w:instrText xml:space="preserve"> PAGEREF _Toc10576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CFA76A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_Toc26604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4.4.2. 评审报告</w:t>
          </w:r>
          <w:r>
            <w:tab/>
          </w:r>
          <w:r>
            <w:fldChar w:fldCharType="begin"/>
          </w:r>
          <w:r>
            <w:instrText xml:space="preserve"> PAGEREF _Toc26604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A8DD27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_Toc4412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改进措施跟踪</w:t>
          </w:r>
          <w:r>
            <w:tab/>
          </w:r>
          <w:r>
            <w:fldChar w:fldCharType="begin"/>
          </w:r>
          <w:r>
            <w:instrText xml:space="preserve"> PAGEREF _Toc4412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55A64C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_Toc14800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4.5.1. 措施实施</w:t>
          </w:r>
          <w:r>
            <w:tab/>
          </w:r>
          <w:r>
            <w:fldChar w:fldCharType="begin"/>
          </w:r>
          <w:r>
            <w:instrText xml:space="preserve"> PAGEREF _Toc14800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E51215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_Toc5819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4.5.2. 效果验证</w:t>
          </w:r>
          <w:r>
            <w:tab/>
          </w:r>
          <w:r>
            <w:fldChar w:fldCharType="begin"/>
          </w:r>
          <w:r>
            <w:instrText xml:space="preserve"> PAGEREF _Toc5819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AF166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_Toc28537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_Toc28537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02B48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_Toc31861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_Toc31861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51A2E5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_Toc7882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_Toc7882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5A5A9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_Toc28443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_Toc28443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37BC38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</w:sdtContent>
    </w:sdt>
    <w:p w14:paraId="38AF0E19">
      <w:r>
        <w:rPr>
          <w:rFonts w:hint="eastAsia"/>
          <w:lang w:val="en-US" w:eastAsia="zh-CN"/>
        </w:rPr>
        <w:br w:type="page"/>
      </w:r>
    </w:p>
    <w:p w14:paraId="102BDC3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2408"/>
      <w:r>
        <w:rPr>
          <w:rFonts w:hint="eastAsia"/>
          <w:lang w:val="en-US" w:eastAsia="zh-CN"/>
        </w:rPr>
        <w:t>总则</w:t>
      </w:r>
      <w:bookmarkEnd w:id="2"/>
    </w:p>
    <w:p w14:paraId="1DB1937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4092"/>
      <w:r>
        <w:rPr>
          <w:rFonts w:hint="eastAsia"/>
          <w:lang w:val="en-US" w:eastAsia="zh-CN"/>
        </w:rPr>
        <w:t>目的</w:t>
      </w:r>
      <w:bookmarkEnd w:id="3"/>
    </w:p>
    <w:p w14:paraId="621160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为建立系统化的管理评审机制，定期评价公司运维服务管理体系的适宜性、充分性和有效性，识别体系改进机会，确保服务方针和服务目标的实现，推动管理体系持续改进，特制定本制度。</w:t>
      </w:r>
    </w:p>
    <w:p w14:paraId="10515CD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2113"/>
      <w:r>
        <w:rPr>
          <w:rFonts w:hint="eastAsia"/>
          <w:lang w:val="en-US" w:eastAsia="zh-CN"/>
        </w:rPr>
        <w:t>适用范围</w:t>
      </w:r>
      <w:bookmarkEnd w:id="4"/>
    </w:p>
    <w:p w14:paraId="42623E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本制度适用于公司管理层对运维服务管理体系的评审活动，包括质量方针、质量目标及体系运行效果的评审。</w:t>
      </w:r>
    </w:p>
    <w:p w14:paraId="3DF0CE7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0848"/>
      <w:r>
        <w:rPr>
          <w:rFonts w:hint="eastAsia"/>
          <w:lang w:val="en-US" w:eastAsia="zh-CN"/>
        </w:rPr>
        <w:t>原则</w:t>
      </w:r>
      <w:bookmarkEnd w:id="5"/>
    </w:p>
    <w:p w14:paraId="20B5397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战略导向：确保管理体系与公司战略目标保持一致</w:t>
      </w:r>
    </w:p>
    <w:p w14:paraId="0D89B9E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数据驱动：基于客观证据和数据分析进行决策</w:t>
      </w:r>
    </w:p>
    <w:p w14:paraId="5FC6B7D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持续改进：注重识别改进机会，推动体系不断完善</w:t>
      </w:r>
    </w:p>
    <w:p w14:paraId="03FBCE5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全员参与：各相关部门共同参与评审过程</w:t>
      </w:r>
    </w:p>
    <w:p w14:paraId="7155D9D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7210"/>
      <w:r>
        <w:rPr>
          <w:rFonts w:hint="eastAsia"/>
          <w:lang w:val="en-US" w:eastAsia="zh-CN"/>
        </w:rPr>
        <w:t>岗位职责</w:t>
      </w:r>
      <w:bookmarkEnd w:id="6"/>
    </w:p>
    <w:p w14:paraId="3C0861D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1607"/>
      <w:r>
        <w:rPr>
          <w:rFonts w:hint="default"/>
          <w:lang w:val="en-US" w:eastAsia="zh-CN"/>
        </w:rPr>
        <w:t>管理者代表</w:t>
      </w:r>
      <w:bookmarkEnd w:id="7"/>
    </w:p>
    <w:p w14:paraId="43C327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负责审批管理评审计划，主持评审会议，批准管理评审报告</w:t>
      </w:r>
    </w:p>
    <w:p w14:paraId="54BDB7C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8032"/>
      <w:r>
        <w:rPr>
          <w:rFonts w:hint="default"/>
          <w:lang w:val="en-US" w:eastAsia="zh-CN"/>
        </w:rPr>
        <w:t>质量部</w:t>
      </w:r>
      <w:bookmarkEnd w:id="8"/>
    </w:p>
    <w:p w14:paraId="743432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作为管理评审归口部门，负责组织评审活动，准备评审资料，编制评审报告</w:t>
      </w:r>
    </w:p>
    <w:p w14:paraId="360AECC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7796"/>
      <w:r>
        <w:rPr>
          <w:rFonts w:hint="default"/>
          <w:lang w:val="en-US" w:eastAsia="zh-CN"/>
        </w:rPr>
        <w:t>各相关部门</w:t>
      </w:r>
      <w:bookmarkEnd w:id="9"/>
    </w:p>
    <w:p w14:paraId="15B97F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负责准备本部门体系运行情况报告，参与评审会议，落实改进措施</w:t>
      </w:r>
    </w:p>
    <w:p w14:paraId="31AFA79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7950"/>
      <w:r>
        <w:rPr>
          <w:rFonts w:hint="eastAsia"/>
          <w:lang w:val="en-US" w:eastAsia="zh-CN"/>
        </w:rPr>
        <w:t>引用依据</w:t>
      </w:r>
      <w:bookmarkEnd w:id="10"/>
    </w:p>
    <w:p w14:paraId="626C815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45C6EFD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56F2B93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7D1BB055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00132B3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3090"/>
      <w:r>
        <w:rPr>
          <w:rFonts w:hint="eastAsia"/>
          <w:lang w:val="en-US" w:eastAsia="zh-CN"/>
        </w:rPr>
        <w:t>定义与术语</w:t>
      </w:r>
      <w:bookmarkEnd w:id="11"/>
    </w:p>
    <w:p w14:paraId="2BBB812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_Toc32673"/>
      <w:r>
        <w:rPr>
          <w:rFonts w:hint="eastAsia"/>
        </w:rPr>
        <w:t>管理评审</w:t>
      </w:r>
      <w:bookmarkEnd w:id="12"/>
    </w:p>
    <w:p w14:paraId="76FAEC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由最高管理者就质量方针和目标，对体系的适宜性、充分性和有效性进行的正式评价</w:t>
      </w:r>
    </w:p>
    <w:p w14:paraId="159734F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3" w:name="_Toc23888"/>
      <w:r>
        <w:rPr>
          <w:rFonts w:hint="eastAsia"/>
        </w:rPr>
        <w:t>适宜性</w:t>
      </w:r>
      <w:bookmarkEnd w:id="13"/>
    </w:p>
    <w:p w14:paraId="58037B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管理体系与组织环境、战略方向的匹配程度</w:t>
      </w:r>
    </w:p>
    <w:p w14:paraId="331634C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8866"/>
      <w:r>
        <w:rPr>
          <w:rFonts w:hint="eastAsia"/>
        </w:rPr>
        <w:t>充分性</w:t>
      </w:r>
      <w:bookmarkEnd w:id="14"/>
    </w:p>
    <w:p w14:paraId="0AFC73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管理体系覆盖所有要求并有效实施的程度</w:t>
      </w:r>
    </w:p>
    <w:p w14:paraId="32A44D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5" w:name="_Toc24895"/>
      <w:r>
        <w:rPr>
          <w:rFonts w:hint="eastAsia"/>
        </w:rPr>
        <w:t>有效性</w:t>
      </w:r>
      <w:bookmarkEnd w:id="15"/>
    </w:p>
    <w:p w14:paraId="6C0B6E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完成策划活动和达到策划结果的程度</w:t>
      </w:r>
    </w:p>
    <w:p w14:paraId="5CADDC8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5515"/>
      <w:r>
        <w:rPr>
          <w:rFonts w:hint="eastAsia"/>
          <w:lang w:val="en-US" w:eastAsia="zh-CN"/>
        </w:rPr>
        <w:t>管理内容与要求</w:t>
      </w:r>
      <w:bookmarkEnd w:id="16"/>
    </w:p>
    <w:p w14:paraId="149EC10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3579"/>
      <w:r>
        <w:rPr>
          <w:rFonts w:hint="default"/>
          <w:lang w:val="en-US" w:eastAsia="zh-CN"/>
        </w:rPr>
        <w:t>评审频次与时机</w:t>
      </w:r>
      <w:bookmarkEnd w:id="17"/>
    </w:p>
    <w:p w14:paraId="37734A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常规管理评审每年至少进行一次，间隔不超过12个月</w:t>
      </w:r>
    </w:p>
    <w:p w14:paraId="0E7039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在下列情况下应增加临时管理评审：</w:t>
      </w:r>
    </w:p>
    <w:p w14:paraId="6CE64F4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组织机构发生重大调整</w:t>
      </w:r>
    </w:p>
    <w:p w14:paraId="2411ACF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管理体系发生重大变化</w:t>
      </w:r>
    </w:p>
    <w:p w14:paraId="4A3CD61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发生重大质量事故或客户重大投诉</w:t>
      </w:r>
    </w:p>
    <w:p w14:paraId="280DA71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外部环境发生重大变化</w:t>
      </w:r>
    </w:p>
    <w:p w14:paraId="5DEC14D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认证审核前</w:t>
      </w:r>
    </w:p>
    <w:p w14:paraId="58F04FD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7233"/>
      <w:r>
        <w:rPr>
          <w:rFonts w:hint="default"/>
          <w:lang w:val="en-US" w:eastAsia="zh-CN"/>
        </w:rPr>
        <w:t>评审策划</w:t>
      </w:r>
      <w:bookmarkEnd w:id="18"/>
    </w:p>
    <w:p w14:paraId="5893C88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7967"/>
      <w:r>
        <w:rPr>
          <w:rFonts w:hint="default"/>
          <w:lang w:val="en-US" w:eastAsia="zh-CN"/>
        </w:rPr>
        <w:t>评审计划制定</w:t>
      </w:r>
      <w:bookmarkEnd w:id="19"/>
    </w:p>
    <w:p w14:paraId="7A72F6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质量部应于评审前一周左右编制《管理评审计划》，内容包括：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7B9749B3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评审目的、范围和时间安排</w:t>
      </w:r>
    </w:p>
    <w:p w14:paraId="214C0798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评审依据和评审重点</w:t>
      </w:r>
    </w:p>
    <w:p w14:paraId="7E8803FC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参加评审的部门和人员</w:t>
      </w:r>
    </w:p>
    <w:p w14:paraId="74F27AB1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评审议程和输入资料要求</w:t>
      </w:r>
    </w:p>
    <w:p w14:paraId="5FEBA6A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32429"/>
      <w:r>
        <w:rPr>
          <w:rFonts w:hint="default"/>
          <w:lang w:val="en-US" w:eastAsia="zh-CN"/>
        </w:rPr>
        <w:t>评审准备</w:t>
      </w:r>
      <w:bookmarkEnd w:id="20"/>
    </w:p>
    <w:p w14:paraId="5CCA46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各相关部门根据评审计划准备相应输入资料：</w:t>
      </w:r>
    </w:p>
    <w:p w14:paraId="7FDF9AB6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运维部：服务交付情况、KPI达成情况</w:t>
      </w:r>
    </w:p>
    <w:p w14:paraId="2B7E2395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</w:t>
      </w:r>
      <w:r>
        <w:rPr>
          <w:rFonts w:hint="default"/>
          <w:lang w:val="en-US" w:eastAsia="zh-CN"/>
        </w:rPr>
        <w:t>：客户满意度分析、客户投诉处理</w:t>
      </w:r>
    </w:p>
    <w:p w14:paraId="399A31B9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质量部：内审结果、纠正预防措施实施情况</w:t>
      </w:r>
    </w:p>
    <w:p w14:paraId="49C35A34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人力部：人员能力评估、培训效果分析</w:t>
      </w:r>
    </w:p>
    <w:p w14:paraId="6A5B952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1228"/>
      <w:r>
        <w:rPr>
          <w:rFonts w:hint="default"/>
          <w:lang w:val="en-US" w:eastAsia="zh-CN"/>
        </w:rPr>
        <w:t>评审实施</w:t>
      </w:r>
      <w:bookmarkEnd w:id="21"/>
    </w:p>
    <w:p w14:paraId="349D58C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3046"/>
      <w:r>
        <w:rPr>
          <w:rFonts w:hint="default"/>
          <w:lang w:val="en-US" w:eastAsia="zh-CN"/>
        </w:rPr>
        <w:t>评审输入</w:t>
      </w:r>
      <w:bookmarkEnd w:id="22"/>
    </w:p>
    <w:p w14:paraId="2EE052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管理评审输入应包括以下内容：</w:t>
      </w:r>
    </w:p>
    <w:p w14:paraId="16F3A004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以往管理评审跟踪措施的实施情况</w:t>
      </w:r>
    </w:p>
    <w:p w14:paraId="54687052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内外部审核结果</w:t>
      </w:r>
    </w:p>
    <w:p w14:paraId="1C32D94D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客户反馈分析（满意度、投诉、建议）</w:t>
      </w:r>
    </w:p>
    <w:p w14:paraId="3EF59AB8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服务过程绩效和KPI达成情况</w:t>
      </w:r>
    </w:p>
    <w:p w14:paraId="43821C4B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纠正和预防措施状况</w:t>
      </w:r>
    </w:p>
    <w:p w14:paraId="787BA672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可能影响管理体系的各种变更</w:t>
      </w:r>
    </w:p>
    <w:p w14:paraId="17034F3F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改进建议</w:t>
      </w:r>
    </w:p>
    <w:p w14:paraId="612AD41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8422"/>
      <w:r>
        <w:rPr>
          <w:rFonts w:hint="default"/>
          <w:lang w:val="en-US" w:eastAsia="zh-CN"/>
        </w:rPr>
        <w:t>评审会议</w:t>
      </w:r>
      <w:bookmarkEnd w:id="23"/>
    </w:p>
    <w:p w14:paraId="5441A2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会议由管理者代表主持，议程包括：</w:t>
      </w:r>
    </w:p>
    <w:p w14:paraId="03ACA8C6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汇报体系运行总体情况</w:t>
      </w:r>
    </w:p>
    <w:p w14:paraId="6921AD59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各部门报告分管领域运行状况</w:t>
      </w:r>
    </w:p>
    <w:p w14:paraId="7CF6DCF6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讨论体系适宜性、充分性和有效性</w:t>
      </w:r>
    </w:p>
    <w:p w14:paraId="542D7A99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评价改进机会和变更需求</w:t>
      </w:r>
    </w:p>
    <w:p w14:paraId="7511BA05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形成评审结论和改进决定</w:t>
      </w:r>
    </w:p>
    <w:p w14:paraId="22BC586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16558"/>
      <w:r>
        <w:rPr>
          <w:rFonts w:hint="default"/>
          <w:lang w:val="en-US" w:eastAsia="zh-CN"/>
        </w:rPr>
        <w:t>评审输出</w:t>
      </w:r>
      <w:bookmarkEnd w:id="24"/>
    </w:p>
    <w:p w14:paraId="106E81F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0576"/>
      <w:r>
        <w:rPr>
          <w:rFonts w:hint="default"/>
          <w:lang w:val="en-US" w:eastAsia="zh-CN"/>
        </w:rPr>
        <w:t>评审结论</w:t>
      </w:r>
      <w:bookmarkEnd w:id="25"/>
    </w:p>
    <w:p w14:paraId="56DFEF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管理评审输出应包括：</w:t>
      </w:r>
    </w:p>
    <w:p w14:paraId="5F22A59A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体系适宜性、充分性和有效性的总体评价</w:t>
      </w:r>
    </w:p>
    <w:p w14:paraId="4F14FA7B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服务方针和目标变更决定</w:t>
      </w:r>
    </w:p>
    <w:p w14:paraId="1E40FBC6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体系文件修改需求</w:t>
      </w:r>
    </w:p>
    <w:p w14:paraId="40234605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资源调配决定</w:t>
      </w:r>
    </w:p>
    <w:p w14:paraId="42AB11C3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改进项目和措施</w:t>
      </w:r>
    </w:p>
    <w:p w14:paraId="5DC2DAD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6604"/>
      <w:r>
        <w:rPr>
          <w:rFonts w:hint="default"/>
          <w:lang w:val="en-US" w:eastAsia="zh-CN"/>
        </w:rPr>
        <w:t>评审报告</w:t>
      </w:r>
      <w:bookmarkEnd w:id="26"/>
    </w:p>
    <w:p w14:paraId="68AB86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质量部在评审后5个工作日内编制《管理评审报告》，内容包括：</w:t>
      </w:r>
    </w:p>
    <w:p w14:paraId="7B20A0E8">
      <w:pPr>
        <w:pStyle w:val="2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评审概况和参会人员</w:t>
      </w:r>
    </w:p>
    <w:p w14:paraId="0721F1F8">
      <w:pPr>
        <w:pStyle w:val="2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评审输入内容摘要</w:t>
      </w:r>
    </w:p>
    <w:p w14:paraId="53E810C8">
      <w:pPr>
        <w:pStyle w:val="2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评审讨论和结论</w:t>
      </w:r>
    </w:p>
    <w:p w14:paraId="189FBF40">
      <w:pPr>
        <w:pStyle w:val="2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改进决定和措施要求</w:t>
      </w:r>
    </w:p>
    <w:p w14:paraId="582C3B2E">
      <w:pPr>
        <w:pStyle w:val="2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资源需求和建议</w:t>
      </w:r>
    </w:p>
    <w:p w14:paraId="1AC8AAC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4412"/>
      <w:r>
        <w:rPr>
          <w:rFonts w:hint="default"/>
          <w:lang w:val="en-US" w:eastAsia="zh-CN"/>
        </w:rPr>
        <w:t>改进措施跟踪</w:t>
      </w:r>
      <w:bookmarkEnd w:id="27"/>
    </w:p>
    <w:p w14:paraId="2CB3168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14800"/>
      <w:r>
        <w:rPr>
          <w:rFonts w:hint="default"/>
          <w:lang w:val="en-US" w:eastAsia="zh-CN"/>
        </w:rPr>
        <w:t>措施实施</w:t>
      </w:r>
      <w:bookmarkEnd w:id="28"/>
    </w:p>
    <w:p w14:paraId="7A59C6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各相关部门根据评审决定：</w:t>
      </w:r>
    </w:p>
    <w:p w14:paraId="5163FE0E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制定具体的改进措施计划</w:t>
      </w:r>
    </w:p>
    <w:p w14:paraId="750F7F3C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明确责任人和完成时限</w:t>
      </w:r>
    </w:p>
    <w:p w14:paraId="30840629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配置必要资源确保实施</w:t>
      </w:r>
    </w:p>
    <w:p w14:paraId="4594DA5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5819"/>
      <w:r>
        <w:rPr>
          <w:rFonts w:hint="default"/>
          <w:lang w:val="en-US" w:eastAsia="zh-CN"/>
        </w:rPr>
        <w:t>效果验证</w:t>
      </w:r>
      <w:bookmarkEnd w:id="29"/>
    </w:p>
    <w:p w14:paraId="01D84B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质量部负责：</w:t>
      </w:r>
    </w:p>
    <w:p w14:paraId="6EBA9713">
      <w:pPr>
        <w:pStyle w:val="2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跟踪改进措施实施进度</w:t>
      </w:r>
    </w:p>
    <w:p w14:paraId="2E4267CB">
      <w:pPr>
        <w:pStyle w:val="2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验证措施实施效果</w:t>
      </w:r>
    </w:p>
    <w:p w14:paraId="3D679DD9">
      <w:pPr>
        <w:pStyle w:val="2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将验证结果纳入下次管理评审</w:t>
      </w:r>
    </w:p>
    <w:p w14:paraId="50D4AD07">
      <w:pPr>
        <w:pStyle w:val="30"/>
        <w:bidi w:val="0"/>
        <w:rPr>
          <w:rFonts w:hint="default"/>
          <w:lang w:val="en-US" w:eastAsia="zh-CN"/>
        </w:rPr>
      </w:pPr>
      <w:bookmarkStart w:id="30" w:name="_Toc28537"/>
      <w:r>
        <w:rPr>
          <w:rFonts w:hint="eastAsia"/>
          <w:lang w:val="en-US" w:eastAsia="zh-CN"/>
        </w:rPr>
        <w:t>考核指标</w:t>
      </w:r>
      <w:bookmarkEnd w:id="30"/>
    </w:p>
    <w:tbl>
      <w:tblPr>
        <w:tblStyle w:val="21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3265"/>
        <w:gridCol w:w="996"/>
        <w:gridCol w:w="2131"/>
      </w:tblGrid>
      <w:tr w14:paraId="0208A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4709B0E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265" w:type="dxa"/>
          </w:tcPr>
          <w:p w14:paraId="035E8E7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996" w:type="dxa"/>
          </w:tcPr>
          <w:p w14:paraId="0D9A156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频次</w:t>
            </w:r>
          </w:p>
        </w:tc>
        <w:tc>
          <w:tcPr>
            <w:tcW w:w="2131" w:type="dxa"/>
          </w:tcPr>
          <w:p w14:paraId="5015D5D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</w:tr>
      <w:tr w14:paraId="094E3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</w:tcPr>
          <w:p w14:paraId="50B4CF66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管评次数</w:t>
            </w:r>
          </w:p>
        </w:tc>
        <w:tc>
          <w:tcPr>
            <w:tcW w:w="3265" w:type="dxa"/>
            <w:shd w:val="clear" w:color="auto" w:fill="auto"/>
          </w:tcPr>
          <w:p w14:paraId="29BC2F74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数量，管评报告数量</w:t>
            </w:r>
          </w:p>
        </w:tc>
        <w:tc>
          <w:tcPr>
            <w:tcW w:w="996" w:type="dxa"/>
            <w:shd w:val="clear" w:color="auto" w:fill="auto"/>
          </w:tcPr>
          <w:p w14:paraId="25979F1D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年度</w:t>
            </w:r>
          </w:p>
        </w:tc>
        <w:tc>
          <w:tcPr>
            <w:tcW w:w="2131" w:type="dxa"/>
            <w:shd w:val="clear" w:color="auto" w:fill="auto"/>
          </w:tcPr>
          <w:p w14:paraId="46EC39B2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≥1次</w:t>
            </w:r>
          </w:p>
        </w:tc>
      </w:tr>
    </w:tbl>
    <w:p w14:paraId="63F494B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31" w:name="bookmark3"/>
      <w:bookmarkEnd w:id="31"/>
      <w:bookmarkStart w:id="32" w:name="_Toc31861"/>
      <w:bookmarkStart w:id="33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32"/>
      <w:bookmarkEnd w:id="33"/>
    </w:p>
    <w:p w14:paraId="04C16DA7">
      <w:pPr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本制度最终解释权和修订权归质量部。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</w:r>
      <w:r>
        <w:rPr>
          <w:rFonts w:ascii="宋体" w:hAnsi="宋体" w:eastAsia="宋体" w:cs="宋体"/>
          <w:spacing w:val="-1"/>
          <w:sz w:val="24"/>
          <w:szCs w:val="24"/>
        </w:rPr>
      </w:r>
    </w:p>
    <w:p w14:paraId="2B218919">
      <w:pPr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3FF1C90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4" w:name="bookmark14"/>
      <w:bookmarkEnd w:id="34"/>
      <w:bookmarkStart w:id="35" w:name="_Toc7882"/>
      <w:r>
        <w:rPr>
          <w:rFonts w:hint="eastAsia"/>
          <w:lang w:val="en-US" w:eastAsia="zh-CN"/>
        </w:rPr>
        <w:t>附件</w:t>
      </w:r>
      <w:bookmarkEnd w:id="35"/>
    </w:p>
    <w:p w14:paraId="43BC59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4A62BCF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28443"/>
      <w:r>
        <w:rPr>
          <w:rFonts w:hint="eastAsia"/>
          <w:lang w:val="en-US" w:eastAsia="zh-CN"/>
        </w:rPr>
        <w:t>记录</w:t>
      </w:r>
      <w:bookmarkEnd w:id="36"/>
    </w:p>
    <w:p w14:paraId="1865AA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5A524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420DC9"/>
    <w:multiLevelType w:val="singleLevel"/>
    <w:tmpl w:val="A7420D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0E542CB"/>
    <w:multiLevelType w:val="singleLevel"/>
    <w:tmpl w:val="B0E542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6E7A118"/>
    <w:multiLevelType w:val="singleLevel"/>
    <w:tmpl w:val="D6E7A1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DBE06B1F"/>
    <w:multiLevelType w:val="singleLevel"/>
    <w:tmpl w:val="DBE06B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E779186"/>
    <w:multiLevelType w:val="singleLevel"/>
    <w:tmpl w:val="DE77918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3877C3D"/>
    <w:multiLevelType w:val="singleLevel"/>
    <w:tmpl w:val="E3877C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402564E"/>
    <w:multiLevelType w:val="singleLevel"/>
    <w:tmpl w:val="E402564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EEB858D5"/>
    <w:multiLevelType w:val="singleLevel"/>
    <w:tmpl w:val="EEB858D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F540AA58"/>
    <w:multiLevelType w:val="singleLevel"/>
    <w:tmpl w:val="F540AA5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0F7A6E78"/>
    <w:multiLevelType w:val="singleLevel"/>
    <w:tmpl w:val="0F7A6E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2C3C5CA8"/>
    <w:multiLevelType w:val="singleLevel"/>
    <w:tmpl w:val="2C3C5C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2"/>
  </w:num>
  <w:num w:numId="3">
    <w:abstractNumId w:val="9"/>
  </w:num>
  <w:num w:numId="4">
    <w:abstractNumId w:val="7"/>
  </w:num>
  <w:num w:numId="5">
    <w:abstractNumId w:val="11"/>
  </w:num>
  <w:num w:numId="6">
    <w:abstractNumId w:val="5"/>
  </w:num>
  <w:num w:numId="7">
    <w:abstractNumId w:val="8"/>
  </w:num>
  <w:num w:numId="8">
    <w:abstractNumId w:val="1"/>
  </w:num>
  <w:num w:numId="9">
    <w:abstractNumId w:val="3"/>
  </w:num>
  <w:num w:numId="10">
    <w:abstractNumId w:val="2"/>
  </w:num>
  <w:num w:numId="11">
    <w:abstractNumId w:val="6"/>
  </w:num>
  <w:num w:numId="12">
    <w:abstractNumId w:val="4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9A45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1597</Words>
  <Characters>1814</Characters>
  <Lines>0</Lines>
  <Paragraphs>0</Paragraphs>
  <TotalTime>0</TotalTime>
  <ScaleCrop>false</ScaleCrop>
  <LinksUpToDate>false</LinksUpToDate>
  <CharactersWithSpaces>1963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2026-05-24T16:09:22Z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