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01548">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633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3BD8186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2139"/>
      <w:r>
        <w:rPr>
          <w:rFonts w:hint="eastAsia"/>
          <w:lang w:val="en-US" w:eastAsia="zh-CN"/>
        </w:rPr>
        <w:t>2026年度1-5月运维服务</w:t>
        <w:br/>
        <w:t>质量管理报告</w:t>
      </w:r>
      <w:r>
        <w:rPr>
          <w:rFonts w:hint="eastAsia"/>
          <w:lang w:val="en-US" w:eastAsia="zh-CN"/>
        </w:rPr>
      </w:r>
      <w:r>
        <w:rPr>
          <w:rFonts w:hint="eastAsia"/>
          <w:lang w:val="en-US" w:eastAsia="zh-CN"/>
        </w:rPr>
      </w:r>
      <w:bookmarkEnd w:id="1"/>
    </w:p>
    <w:p w14:paraId="7F51DA2F">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文件编号：ZGS-04-19</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4725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333755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r>
              <w:rPr>
                <w:rFonts w:hint="default" w:asciiTheme="minorAscii" w:hAnsiTheme="minorAscii" w:eastAsiaTheme="minorEastAsia"/>
                <w:spacing w:val="227"/>
                <w:sz w:val="21"/>
                <w:vertAlign w:val="baseline"/>
                <w:lang w:val="en-US" w:eastAsia="zh-CN"/>
              </w:rPr>
            </w:r>
            <w:r>
              <w:rPr>
                <w:rFonts w:hint="eastAsia"/>
                <w:u w:val="single"/>
                <w:vertAlign w:val="baseline"/>
                <w:lang w:val="en-US" w:eastAsia="zh-CN"/>
              </w:rPr>
            </w:r>
          </w:p>
        </w:tc>
        <w:tc>
          <w:tcPr>
            <w:tcW w:w="2708" w:type="dxa"/>
          </w:tcPr>
          <w:p w14:paraId="1BD5E3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编制时间:2026.05.31</w:t>
            </w:r>
            <w:r>
              <w:rPr>
                <w:rFonts w:hint="eastAsia" w:asciiTheme="minorAscii" w:hAnsiTheme="minorAscii" w:eastAsiaTheme="minorEastAsia"/>
                <w:spacing w:val="227"/>
                <w:sz w:val="21"/>
                <w:vertAlign w:val="baseline"/>
                <w:lang w:val="en-US" w:eastAsia="zh-CN"/>
              </w:rPr>
            </w:r>
            <w:r>
              <w:rPr>
                <w:rFonts w:hint="eastAsia"/>
                <w:u w:val="single"/>
                <w:vertAlign w:val="baseline"/>
                <w:lang w:val="en-US" w:eastAsia="zh-CN"/>
              </w:rPr>
            </w:r>
          </w:p>
        </w:tc>
      </w:tr>
      <w:tr w14:paraId="3A69B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F077F6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11354E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审核时间:2026.05.31</w:t>
            </w:r>
            <w:r>
              <w:rPr>
                <w:rFonts w:hint="eastAsia" w:asciiTheme="minorAscii" w:hAnsiTheme="minorAscii" w:eastAsiaTheme="minorEastAsia"/>
                <w:spacing w:val="227"/>
                <w:sz w:val="21"/>
                <w:vertAlign w:val="baseline"/>
                <w:lang w:val="en-US" w:eastAsia="zh-CN"/>
              </w:rPr>
            </w:r>
            <w:r>
              <w:rPr>
                <w:rFonts w:hint="eastAsia"/>
                <w:u w:val="single"/>
                <w:vertAlign w:val="baseline"/>
                <w:lang w:val="en-US" w:eastAsia="zh-CN"/>
              </w:rPr>
            </w:r>
          </w:p>
        </w:tc>
      </w:tr>
      <w:tr w14:paraId="67D1D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19B16C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63A1F9E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审批时间:2026.05.31</w:t>
            </w:r>
            <w:r>
              <w:rPr>
                <w:rFonts w:hint="eastAsia" w:asciiTheme="minorAscii" w:hAnsiTheme="minorAscii" w:eastAsiaTheme="minorEastAsia"/>
                <w:spacing w:val="227"/>
                <w:sz w:val="21"/>
                <w:vertAlign w:val="baseline"/>
                <w:lang w:val="en-US" w:eastAsia="zh-CN"/>
              </w:rPr>
            </w:r>
            <w:r>
              <w:rPr>
                <w:rFonts w:hint="eastAsia"/>
                <w:u w:val="single"/>
                <w:vertAlign w:val="baseline"/>
                <w:lang w:val="en-US" w:eastAsia="zh-CN"/>
              </w:rPr>
            </w:r>
          </w:p>
        </w:tc>
      </w:tr>
    </w:tbl>
    <w:p w14:paraId="39DD9E32">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E1C0D8E">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2E69C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00CF6782">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213030A">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0C14C7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705AE852">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9865E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090ACC36">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2026.05.31</w:t>
            </w:r>
            <w:r>
              <w:rPr>
                <w:rFonts w:hint="eastAsia" w:ascii="宋体" w:hAnsi="宋体" w:cs="宋体"/>
                <w:spacing w:val="3"/>
                <w:position w:val="1"/>
                <w:sz w:val="20"/>
                <w:szCs w:val="20"/>
                <w:lang w:val="en-US" w:eastAsia="zh-CN"/>
              </w:rPr>
            </w:r>
            <w:r>
              <w:rPr>
                <w:rFonts w:ascii="宋体" w:hAnsi="宋体" w:eastAsia="宋体" w:cs="宋体"/>
                <w:spacing w:val="3"/>
                <w:position w:val="1"/>
                <w:sz w:val="20"/>
                <w:szCs w:val="20"/>
              </w:rPr>
            </w:r>
            <w:r>
              <w:rPr>
                <w:rFonts w:hint="eastAsia" w:ascii="宋体" w:hAnsi="宋体" w:cs="宋体"/>
                <w:spacing w:val="3"/>
                <w:position w:val="1"/>
                <w:sz w:val="20"/>
                <w:szCs w:val="20"/>
                <w:lang w:val="en-US" w:eastAsia="zh-CN"/>
              </w:rPr>
            </w:r>
            <w:r>
              <w:rPr>
                <w:rFonts w:ascii="宋体" w:hAnsi="宋体" w:eastAsia="宋体" w:cs="宋体"/>
                <w:spacing w:val="3"/>
                <w:position w:val="1"/>
                <w:sz w:val="20"/>
                <w:szCs w:val="20"/>
              </w:rPr>
            </w:r>
            <w:r>
              <w:rPr>
                <w:rFonts w:hint="eastAsia" w:ascii="宋体" w:hAnsi="宋体" w:cs="宋体"/>
                <w:spacing w:val="3"/>
                <w:position w:val="1"/>
                <w:sz w:val="20"/>
                <w:szCs w:val="20"/>
                <w:lang w:val="en-US" w:eastAsia="zh-CN"/>
              </w:rPr>
            </w:r>
          </w:p>
        </w:tc>
        <w:tc>
          <w:tcPr>
            <w:tcW w:w="919" w:type="dxa"/>
          </w:tcPr>
          <w:p w14:paraId="58CDE9B0">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33A8FBE">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0FF850AE">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刘长凡</w:t>
            </w:r>
          </w:p>
        </w:tc>
      </w:tr>
      <w:tr w14:paraId="29A6E0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28D93924">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423AD3A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31DF666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E9CC2D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A3A18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663C298">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0E9506F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39D617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809EB2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CB7FF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31E8A58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9BE0416">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193C6C7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171ECE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DB71443">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6561573">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5E6397F">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_Toc16330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_Toc16330 \h </w:instrText>
          </w:r>
          <w:r>
            <w:fldChar w:fldCharType="separate"/>
          </w:r>
          <w:r>
            <w:t>1</w:t>
          </w:r>
          <w:r>
            <w:fldChar w:fldCharType="end"/>
          </w:r>
          <w:r>
            <w:rPr>
              <w:rFonts w:hint="eastAsia" w:ascii="宋体" w:hAnsi="宋体" w:eastAsia="宋体" w:cs="宋体"/>
              <w:szCs w:val="24"/>
            </w:rPr>
            <w:fldChar w:fldCharType="end"/>
          </w:r>
        </w:p>
        <w:p w14:paraId="0AA2683E">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_Toc12139 </w:instrText>
          </w:r>
          <w:r>
            <w:rPr>
              <w:rFonts w:hint="eastAsia" w:ascii="宋体" w:hAnsi="宋体" w:eastAsia="宋体" w:cs="宋体"/>
              <w:szCs w:val="24"/>
            </w:rPr>
            <w:fldChar w:fldCharType="separate"/>
          </w:r>
          <w:r>
            <w:rPr>
              <w:rFonts w:hint="eastAsia"/>
              <w:lang w:val="en-US" w:eastAsia="zh-CN"/>
            </w:rPr>
            <w:t>2026年度1-4月运维服务 质量管理报告</w:t>
          </w:r>
          <w:r>
            <w:tab/>
          </w:r>
          <w:r>
            <w:fldChar w:fldCharType="begin"/>
          </w:r>
          <w:r>
            <w:instrText xml:space="preserve"> PAGEREF _Toc12139 \h </w:instrText>
          </w:r>
          <w:r>
            <w:fldChar w:fldCharType="separate"/>
          </w:r>
          <w:r>
            <w:t>1</w:t>
          </w:r>
          <w:r>
            <w:fldChar w:fldCharType="end"/>
          </w:r>
          <w:r>
            <w:rPr>
              <w:rFonts w:hint="eastAsia" w:ascii="宋体" w:hAnsi="宋体" w:eastAsia="宋体" w:cs="宋体"/>
              <w:szCs w:val="24"/>
            </w:rPr>
            <w:fldChar w:fldCharType="end"/>
          </w:r>
        </w:p>
        <w:p w14:paraId="675B469E">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 </w:instrText>
          </w:r>
          <w:r>
            <w:rPr>
              <w:rFonts w:hint="eastAsia" w:ascii="宋体" w:hAnsi="宋体" w:eastAsia="宋体" w:cs="宋体"/>
              <w:szCs w:val="24"/>
            </w:rPr>
            <w:fldChar w:fldCharType="separate"/>
          </w:r>
          <w:r>
            <w:rPr>
              <w:rFonts w:hint="default"/>
            </w:rPr>
            <w:t xml:space="preserve">1. </w:t>
          </w:r>
          <w:r>
            <w:t>概述</w:t>
          </w:r>
          <w:r>
            <w:tab/>
          </w:r>
          <w:r>
            <w:fldChar w:fldCharType="begin"/>
          </w:r>
          <w:r>
            <w:instrText xml:space="preserve"> PAGEREF _Toc207 \h </w:instrText>
          </w:r>
          <w:r>
            <w:fldChar w:fldCharType="separate"/>
          </w:r>
          <w:r>
            <w:t>4</w:t>
          </w:r>
          <w:r>
            <w:fldChar w:fldCharType="end"/>
          </w:r>
          <w:r>
            <w:rPr>
              <w:rFonts w:hint="eastAsia" w:ascii="宋体" w:hAnsi="宋体" w:eastAsia="宋体" w:cs="宋体"/>
              <w:szCs w:val="24"/>
            </w:rPr>
            <w:fldChar w:fldCharType="end"/>
          </w:r>
        </w:p>
        <w:p w14:paraId="78DEFD80">
          <w:pPr>
            <w:pStyle w:val="16"/>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_Toc9342 </w:instrText>
          </w:r>
          <w:r>
            <w:rPr>
              <w:rFonts w:hint="eastAsia" w:ascii="宋体" w:hAnsi="宋体" w:eastAsia="宋体" w:cs="宋体"/>
              <w:szCs w:val="24"/>
            </w:rPr>
            <w:fldChar w:fldCharType="separate"/>
          </w:r>
          <w:r>
            <w:rPr>
              <w:rFonts w:hint="default"/>
            </w:rPr>
            <w:t xml:space="preserve">2. </w:t>
          </w:r>
          <w:r>
            <w:t>运维服务质量结果分析</w:t>
          </w:r>
          <w:r>
            <w:tab/>
          </w:r>
          <w:r>
            <w:fldChar w:fldCharType="begin"/>
          </w:r>
          <w:r>
            <w:instrText xml:space="preserve"> PAGEREF _Toc9342 \h </w:instrText>
          </w:r>
          <w:r>
            <w:fldChar w:fldCharType="separate"/>
          </w:r>
          <w:r>
            <w:t>4</w:t>
          </w:r>
          <w:r>
            <w:fldChar w:fldCharType="end"/>
          </w:r>
          <w:r>
            <w:rPr>
              <w:rFonts w:hint="eastAsia" w:ascii="宋体" w:hAnsi="宋体" w:eastAsia="宋体" w:cs="宋体"/>
              <w:szCs w:val="24"/>
            </w:rPr>
            <w:fldChar w:fldCharType="end"/>
          </w:r>
        </w:p>
        <w:p w14:paraId="151C0259">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_Toc18378 </w:instrText>
          </w:r>
          <w:r>
            <w:rPr>
              <w:rFonts w:hint="eastAsia" w:ascii="宋体" w:hAnsi="宋体" w:eastAsia="宋体" w:cs="宋体"/>
              <w:szCs w:val="24"/>
            </w:rPr>
            <w:fldChar w:fldCharType="separate"/>
          </w:r>
          <w:r>
            <w:rPr>
              <w:rFonts w:hint="default"/>
            </w:rPr>
            <w:t xml:space="preserve">2.1. </w:t>
          </w:r>
          <w:r>
            <w:t>客户满意度</w:t>
          </w:r>
          <w:r>
            <w:tab/>
          </w:r>
          <w:r>
            <w:fldChar w:fldCharType="begin"/>
          </w:r>
          <w:r>
            <w:instrText xml:space="preserve"> PAGEREF _Toc18378 \h </w:instrText>
          </w:r>
          <w:r>
            <w:fldChar w:fldCharType="separate"/>
          </w:r>
          <w:r>
            <w:t>4</w:t>
          </w:r>
          <w:r>
            <w:fldChar w:fldCharType="end"/>
          </w:r>
          <w:r>
            <w:rPr>
              <w:rFonts w:hint="eastAsia" w:ascii="宋体" w:hAnsi="宋体" w:eastAsia="宋体" w:cs="宋体"/>
              <w:szCs w:val="24"/>
            </w:rPr>
            <w:fldChar w:fldCharType="end"/>
          </w:r>
        </w:p>
        <w:p w14:paraId="3920183C">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_Toc28937 </w:instrText>
          </w:r>
          <w:r>
            <w:rPr>
              <w:rFonts w:hint="eastAsia" w:ascii="宋体" w:hAnsi="宋体" w:eastAsia="宋体" w:cs="宋体"/>
              <w:szCs w:val="24"/>
            </w:rPr>
            <w:fldChar w:fldCharType="separate"/>
          </w:r>
          <w:r>
            <w:rPr>
              <w:rFonts w:hint="default"/>
            </w:rPr>
            <w:t xml:space="preserve">2.2. </w:t>
          </w:r>
          <w:r>
            <w:t>客户投诉</w:t>
          </w:r>
          <w:r>
            <w:tab/>
          </w:r>
          <w:r>
            <w:fldChar w:fldCharType="begin"/>
          </w:r>
          <w:r>
            <w:instrText xml:space="preserve"> PAGEREF _Toc28937 \h </w:instrText>
          </w:r>
          <w:r>
            <w:fldChar w:fldCharType="separate"/>
          </w:r>
          <w:r>
            <w:t>4</w:t>
          </w:r>
          <w:r>
            <w:fldChar w:fldCharType="end"/>
          </w:r>
          <w:r>
            <w:rPr>
              <w:rFonts w:hint="eastAsia" w:ascii="宋体" w:hAnsi="宋体" w:eastAsia="宋体" w:cs="宋体"/>
              <w:szCs w:val="24"/>
            </w:rPr>
            <w:fldChar w:fldCharType="end"/>
          </w:r>
        </w:p>
        <w:p w14:paraId="5BC2715A">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_Toc16724 </w:instrText>
          </w:r>
          <w:r>
            <w:rPr>
              <w:rFonts w:hint="eastAsia" w:ascii="宋体" w:hAnsi="宋体" w:eastAsia="宋体" w:cs="宋体"/>
              <w:szCs w:val="24"/>
            </w:rPr>
            <w:fldChar w:fldCharType="separate"/>
          </w:r>
          <w:r>
            <w:rPr>
              <w:rFonts w:hint="default"/>
            </w:rPr>
            <w:t xml:space="preserve">2.3. </w:t>
          </w:r>
          <w:r>
            <w:t>内审</w:t>
          </w:r>
          <w:r>
            <w:tab/>
          </w:r>
          <w:r>
            <w:fldChar w:fldCharType="begin"/>
          </w:r>
          <w:r>
            <w:instrText xml:space="preserve"> PAGEREF _Toc16724 \h </w:instrText>
          </w:r>
          <w:r>
            <w:fldChar w:fldCharType="separate"/>
          </w:r>
          <w:r>
            <w:t>4</w:t>
          </w:r>
          <w:r>
            <w:fldChar w:fldCharType="end"/>
          </w:r>
          <w:r>
            <w:rPr>
              <w:rFonts w:hint="eastAsia" w:ascii="宋体" w:hAnsi="宋体" w:eastAsia="宋体" w:cs="宋体"/>
              <w:szCs w:val="24"/>
            </w:rPr>
            <w:fldChar w:fldCharType="end"/>
          </w:r>
        </w:p>
        <w:p w14:paraId="0ADB7460">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_Toc7179 </w:instrText>
          </w:r>
          <w:r>
            <w:rPr>
              <w:rFonts w:hint="eastAsia" w:ascii="宋体" w:hAnsi="宋体" w:eastAsia="宋体" w:cs="宋体"/>
              <w:szCs w:val="24"/>
            </w:rPr>
            <w:fldChar w:fldCharType="separate"/>
          </w:r>
          <w:r>
            <w:rPr>
              <w:rFonts w:hint="default"/>
            </w:rPr>
            <w:t xml:space="preserve">2.4. </w:t>
          </w:r>
          <w:r>
            <w:t>管理评审</w:t>
          </w:r>
          <w:r>
            <w:tab/>
          </w:r>
          <w:r>
            <w:fldChar w:fldCharType="begin"/>
          </w:r>
          <w:r>
            <w:instrText xml:space="preserve"> PAGEREF _Toc7179 \h </w:instrText>
          </w:r>
          <w:r>
            <w:fldChar w:fldCharType="separate"/>
          </w:r>
          <w:r>
            <w:t>5</w:t>
          </w:r>
          <w:r>
            <w:fldChar w:fldCharType="end"/>
          </w:r>
          <w:r>
            <w:rPr>
              <w:rFonts w:hint="eastAsia" w:ascii="宋体" w:hAnsi="宋体" w:eastAsia="宋体" w:cs="宋体"/>
              <w:szCs w:val="24"/>
            </w:rPr>
            <w:fldChar w:fldCharType="end"/>
          </w:r>
        </w:p>
        <w:p w14:paraId="55B7F1F1">
          <w:pPr>
            <w:pStyle w:val="17"/>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_Toc23054 </w:instrText>
          </w:r>
          <w:r>
            <w:rPr>
              <w:rFonts w:hint="eastAsia" w:ascii="宋体" w:hAnsi="宋体" w:eastAsia="宋体" w:cs="宋体"/>
              <w:szCs w:val="24"/>
            </w:rPr>
            <w:fldChar w:fldCharType="separate"/>
          </w:r>
          <w:r>
            <w:rPr>
              <w:rFonts w:hint="default"/>
            </w:rPr>
            <w:t xml:space="preserve">2.5. </w:t>
          </w:r>
          <w:r>
            <w:t>问题与改进</w:t>
          </w:r>
          <w:r>
            <w:tab/>
          </w:r>
          <w:r>
            <w:fldChar w:fldCharType="begin"/>
          </w:r>
          <w:r>
            <w:instrText xml:space="preserve"> PAGEREF _Toc23054 \h </w:instrText>
          </w:r>
          <w:r>
            <w:fldChar w:fldCharType="separate"/>
          </w:r>
          <w:r>
            <w:t>5</w:t>
          </w:r>
          <w:r>
            <w:fldChar w:fldCharType="end"/>
          </w:r>
          <w:r>
            <w:rPr>
              <w:rFonts w:hint="eastAsia" w:ascii="宋体" w:hAnsi="宋体" w:eastAsia="宋体" w:cs="宋体"/>
              <w:szCs w:val="24"/>
            </w:rPr>
            <w:fldChar w:fldCharType="end"/>
          </w:r>
        </w:p>
        <w:p w14:paraId="2B59041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B45F3C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B2FC796">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_Toc207"/>
      <w:bookmarkStart w:id="3" w:name="heading_2"/>
      <w:r>
        <w:t>概述</w:t>
      </w:r>
      <w:bookmarkEnd w:id="2"/>
      <w:bookmarkEnd w:id="3"/>
    </w:p>
    <w:p w14:paraId="51718D8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持续提升运维服务质量，根据《运维服务质量管理制度》及年度运维服务质量管理计划的要求，本公司对2026年1-5月期间的运维服务质量度量数据与质量目标达成情况进行了系统梳理与分析。本报告旨在全面总结本阶段质量管理工作成效，识别存在的问题，并为下一阶段制定质量保证与改进计划提供明确的数据支持和决策依据。</w:t>
      </w:r>
    </w:p>
    <w:p w14:paraId="5441F7AB">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3"/>
      <w:bookmarkStart w:id="5" w:name="_Toc9342"/>
      <w:r>
        <w:t>运维服务质量结果分析</w:t>
      </w:r>
      <w:bookmarkEnd w:id="4"/>
      <w:bookmarkEnd w:id="5"/>
    </w:p>
    <w:p w14:paraId="2E8E40F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本阶段运维服务质量目标主要围绕客户投诉次数与客户满意度两大核心指标展开。2026年1-5月，公司设定的质量目标为：客户满意度不低于90%，按季度考核，客户投诉次数不超过3次，按年度考核。</w:t>
      </w:r>
      <w:r>
        <w:rPr>
          <w:rFonts w:hint="eastAsia"/>
          <w:lang w:val="en-US" w:eastAsia="zh-CN"/>
        </w:rPr>
      </w:r>
      <w:r/>
      <w:r>
        <w:rPr>
          <w:rFonts w:hint="eastAsia"/>
          <w:lang w:val="en-US" w:eastAsia="zh-CN"/>
        </w:rPr>
      </w:r>
      <w:r/>
    </w:p>
    <w:p w14:paraId="5F86D5C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4"/>
      <w:bookmarkStart w:id="7" w:name="_Toc18378"/>
      <w:r>
        <w:t>客户满意度</w:t>
      </w:r>
      <w:bookmarkEnd w:id="6"/>
      <w:bookmarkEnd w:id="7"/>
    </w:p>
    <w:p w14:paraId="26D90CE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依据满意度管理制度，质量部每季度对客户满意度进行考核。2026年1-3月分发满意度调查问卷10份，客户满意度达到100%；客户满意度呈良好态势。2026年第一季度满意度调查满足KPI指标要求。</w:t>
      </w:r>
      <w:r>
        <w:rPr>
          <w:rFonts w:hint="eastAsia"/>
          <w:lang w:val="en-US" w:eastAsia="zh-CN"/>
        </w:rPr>
      </w:r>
      <w:bookmarkStart w:id="16" w:name="_GoBack"/>
      <w:bookmarkEnd w:id="16"/>
      <w:r/>
    </w:p>
    <w:p w14:paraId="0226E50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但是在运维管理方面，客户满意度仍有提升空间。需要加强运维工程师专业技能培训，包括应急基础知识培训、专业知识技能培训等。</w:t>
      </w:r>
    </w:p>
    <w:p w14:paraId="6CDBDBC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28937"/>
      <w:bookmarkStart w:id="9" w:name="heading_5"/>
      <w:r>
        <w:t>客户投诉</w:t>
      </w:r>
      <w:bookmarkEnd w:id="8"/>
      <w:bookmarkEnd w:id="9"/>
    </w:p>
    <w:p w14:paraId="3607BD80">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2026年1-5月，公司运维服务客户投诉次数为0次，年度目标值（≤3次）。本阶段未发生客户投诉事件，反映出运维服务质量整体稳定，客户对服务过程及结果较为满意。质量部将持续监控投诉指标，保持良好态势，同时主动收集客户反馈，防患于未然。</w:t>
      </w:r>
    </w:p>
    <w:p w14:paraId="14A9E888">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6724"/>
      <w:bookmarkStart w:id="11" w:name="heading_6"/>
      <w:r>
        <w:t>内审</w:t>
      </w:r>
      <w:bookmarkEnd w:id="10"/>
      <w:bookmarkEnd w:id="11"/>
    </w:p>
    <w:p w14:paraId="14E5027B">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本阶段内审工作按计划将于2026年12月开展，暂未进行。</w:t>
      </w:r>
    </w:p>
    <w:p w14:paraId="285F3B3E">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7"/>
      <w:bookmarkStart w:id="13" w:name="_Toc7179"/>
      <w:r>
        <w:t>管理评审</w:t>
      </w:r>
      <w:bookmarkEnd w:id="12"/>
      <w:bookmarkEnd w:id="13"/>
    </w:p>
    <w:p w14:paraId="5689545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本阶段管理评审工作按计划将于2026年12月开展，暂未进行。</w:t>
      </w:r>
    </w:p>
    <w:p w14:paraId="5B310CF2">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8"/>
      <w:bookmarkStart w:id="15" w:name="_Toc23054"/>
      <w:r>
        <w:t>问题与改进</w:t>
      </w:r>
      <w:bookmarkEnd w:id="14"/>
      <w:bookmarkEnd w:id="15"/>
    </w:p>
    <w:p w14:paraId="169DA3F4">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2026年1-5月质量管理工作存在的主要问题及改进情况如下：</w:t>
      </w:r>
    </w:p>
    <w:p w14:paraId="3037132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配置准确率：第一季度配置准确率达100%，已达标。后续将继续保持，并建立配置变更自动同步机制，每月开展配置审计。</w:t>
      </w:r>
    </w:p>
    <w:p w14:paraId="381DFD92">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工单响应时效：个别工单响应时间</w:t>
      </w:r>
      <w:r>
        <w:rPr>
          <w:rFonts w:hint="eastAsia"/>
          <w:lang w:val="en-US" w:eastAsia="zh-CN"/>
        </w:rPr>
        <w:t>较长</w:t>
      </w:r>
      <w:r>
        <w:t>，反映出值班排班机制有待优化。已优化值班排班机制，增加备班人员，该问题已于2026年3月完成整改。</w:t>
      </w:r>
    </w:p>
    <w:p w14:paraId="3A115E8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备份恢复自动化：备份恢复脚本部分操作依赖手工，影响恢复效率。由研发部负责优化备份恢复脚本，实现一键化恢复，计划于2026年6月完成。</w:t>
      </w:r>
    </w:p>
    <w:p w14:paraId="088F92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应急通讯完善：应急通讯录未包含夜间值班人员联系方式。已更新应急通讯录，增加24小时值班联系方式，该问题已于2026年2月完成整改。</w:t>
      </w:r>
    </w:p>
    <w:sectPr>
      <w:headerReference r:id="rId5" w:type="default"/>
      <w:footerReference w:type="default" r:id="rId11"/>
      <w:headerReference w:type="first" r:id="rId12"/>
      <w:footerReference w:type="first" r:id="rId13"/>
      <w:headerReference w:type="even" r:id="rId14"/>
      <w:footerReference w:type="even" r:id="rId15"/>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B055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E8A0E84"/>
    <w:rsid w:val="24334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992</Words>
  <Characters>1132</Characters>
  <Lines>0</Lines>
  <Paragraphs>0</Paragraphs>
  <TotalTime>0</TotalTime>
  <ScaleCrop>false</ScaleCrop>
  <LinksUpToDate>false</LinksUpToDate>
  <CharactersWithSpaces>1167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2026-05-28T03:33:51Z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