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1573175">
      <w:pPr>
        <w:pStyle w:val="24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3120" w:beforeLines="1000"/>
        <w:textAlignment w:val="baseline"/>
      </w:pPr>
      <w:bookmarkStart w:id="0" w:name="_Toc20680"/>
      <w:r>
        <w:drawing>
          <wp:anchor distT="0" distB="0" distL="114300" distR="114300" simplePos="0" relativeHeight="251660288" behindDoc="1" locked="0" layoutInCell="1" allowOverlap="1">
            <wp:simplePos x="0" y="0"/>
            <wp:positionH relativeFrom="column">
              <wp:posOffset>0</wp:posOffset>
            </wp:positionH>
            <wp:positionV relativeFrom="paragraph">
              <wp:posOffset>0</wp:posOffset>
            </wp:positionV>
            <wp:extent cx="5273675" cy="8843645"/>
            <wp:effectExtent l="0" t="0" r="14605" b="10795"/>
            <wp:wrapNone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73675" cy="88436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hint="eastAsia"/>
          <w:lang w:val="en-US" w:eastAsia="zh-CN"/>
        </w:rPr>
        <w:drawing>
          <wp:anchor distT="0" distB="0" distL="114300" distR="114300" simplePos="0" relativeHeight="251659264" behindDoc="1" locked="0" layoutInCell="1" allowOverlap="1">
            <wp:simplePos x="0" y="0"/>
            <wp:positionH relativeFrom="column">
              <wp:posOffset>635</wp:posOffset>
            </wp:positionH>
            <wp:positionV relativeFrom="paragraph">
              <wp:posOffset>3810</wp:posOffset>
            </wp:positionV>
            <wp:extent cx="5269865" cy="8856980"/>
            <wp:effectExtent l="0" t="0" r="3175" b="12700"/>
            <wp:wrapNone/>
            <wp:docPr id="2" name="图片 2" descr="微信图片_20250926153852_981_8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 descr="微信图片_20250926153852_981_83"/>
                    <pic:cNvPicPr>
                      <a:picLocks noChangeAspect="1"/>
                    </pic:cNvPicPr>
                  </pic:nvPicPr>
                  <pic:blipFill>
                    <a:blip r:embed="rId9">
                      <a:alphaModFix amt="58000"/>
                      <a:lum contrast="-52000"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69865" cy="88569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hint="eastAsia"/>
          <w:lang w:val="en-US" w:eastAsia="zh-CN"/>
        </w:rPr>
        <w:t>重庆市鹧鸪哨信息技术有限责任公司</w:t>
      </w:r>
      <w:bookmarkEnd w:id="0"/>
    </w:p>
    <w:p w14:paraId="75B9B7B9">
      <w:pPr>
        <w:pStyle w:val="25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0" w:after="624" w:afterLines="200"/>
        <w:textAlignment w:val="baseline"/>
        <w:rPr>
          <w:rFonts w:hint="eastAsia"/>
          <w:lang w:val="en-US" w:eastAsia="zh-CN"/>
        </w:rPr>
      </w:pPr>
      <w:bookmarkStart w:id="1" w:name="_Toc29322"/>
      <w:r>
        <w:rPr>
          <w:rFonts w:hint="eastAsia"/>
          <w:lang w:val="en-US" w:eastAsia="zh-CN"/>
        </w:rPr>
        <w:t>人员能力评价管理制度</w:t>
      </w:r>
      <w:bookmarkEnd w:id="1"/>
    </w:p>
    <w:p w14:paraId="15375E19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after="624" w:afterLines="200" w:line="219" w:lineRule="auto"/>
        <w:ind w:left="0" w:leftChars="0" w:right="0" w:rightChars="0" w:firstLine="0" w:firstLineChars="0"/>
        <w:jc w:val="center"/>
        <w:textAlignment w:val="baseline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ascii="宋体" w:hAnsi="宋体" w:eastAsia="宋体" w:cs="宋体"/>
          <w:b/>
          <w:bCs/>
          <w:spacing w:val="-3"/>
          <w:sz w:val="24"/>
          <w:szCs w:val="24"/>
        </w:rPr>
        <w:t>文件编号：ZGS-05-05</w:t>
      </w:r>
      <w:r>
        <w:rPr>
          <w:rFonts w:hint="eastAsia" w:ascii="宋体" w:hAnsi="宋体" w:eastAsia="宋体" w:cs="宋体"/>
          <w:b/>
          <w:bCs/>
          <w:spacing w:val="-3"/>
          <w:sz w:val="24"/>
          <w:szCs w:val="24"/>
          <w:lang w:val="en-US" w:eastAsia="zh-CN"/>
        </w:rPr>
      </w:r>
      <w:r>
        <w:rPr>
          <w:rFonts w:ascii="宋体" w:hAnsi="宋体" w:eastAsia="宋体" w:cs="宋体"/>
          <w:b/>
          <w:bCs/>
          <w:spacing w:val="-3"/>
          <w:sz w:val="24"/>
          <w:szCs w:val="24"/>
        </w:rPr>
      </w:r>
      <w:r>
        <w:rPr>
          <w:rFonts w:hint="eastAsia" w:ascii="宋体" w:hAnsi="宋体" w:eastAsia="宋体" w:cs="宋体"/>
          <w:b/>
          <w:bCs/>
          <w:spacing w:val="-3"/>
          <w:sz w:val="24"/>
          <w:szCs w:val="24"/>
          <w:lang w:val="en-US" w:eastAsia="zh-CN"/>
        </w:rPr>
      </w:r>
      <w:r>
        <w:rPr>
          <w:rFonts w:ascii="宋体" w:hAnsi="宋体" w:eastAsia="宋体" w:cs="宋体"/>
          <w:b/>
          <w:bCs/>
          <w:spacing w:val="-3"/>
          <w:sz w:val="24"/>
          <w:szCs w:val="24"/>
        </w:rPr>
      </w:r>
      <w:r>
        <w:rPr>
          <w:rFonts w:hint="eastAsia" w:ascii="宋体" w:hAnsi="宋体" w:cs="宋体"/>
          <w:b/>
          <w:bCs/>
          <w:spacing w:val="-3"/>
          <w:sz w:val="24"/>
          <w:szCs w:val="24"/>
          <w:lang w:val="en-US" w:eastAsia="zh-CN"/>
        </w:rPr>
      </w:r>
    </w:p>
    <w:tbl>
      <w:tblPr>
        <w:tblStyle w:val="21"/>
        <w:tblW w:w="0" w:type="auto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432"/>
        <w:gridCol w:w="2708"/>
      </w:tblGrid>
      <w:tr w14:paraId="1E6C7A8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 w:hRule="atLeast"/>
          <w:jc w:val="center"/>
        </w:trPr>
        <w:tc>
          <w:tcPr>
            <w:tcW w:w="2432" w:type="dxa"/>
          </w:tcPr>
          <w:p w14:paraId="1977FCC9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编制部门:人力部</w:t>
            </w:r>
            <w:r>
              <w:rPr>
                <w:rFonts w:hint="default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</w:r>
          </w:p>
        </w:tc>
        <w:tc>
          <w:tcPr>
            <w:tcW w:w="2708" w:type="dxa"/>
          </w:tcPr>
          <w:p w14:paraId="1D0F545C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2025.01.10</w:t>
            </w:r>
          </w:p>
        </w:tc>
      </w:tr>
      <w:tr w14:paraId="1A83F59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 w:hRule="atLeast"/>
          <w:jc w:val="center"/>
        </w:trPr>
        <w:tc>
          <w:tcPr>
            <w:tcW w:w="2432" w:type="dxa"/>
            <w:shd w:val="clear" w:color="auto" w:fill="auto"/>
          </w:tcPr>
          <w:p w14:paraId="2C19735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 w:ascii="Arial" w:hAnsi="Arial" w:eastAsia="Arial" w:cs="Arial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spacing w:val="210"/>
                <w:kern w:val="0"/>
                <w:vertAlign w:val="baseline"/>
                <w:lang w:val="en-US" w:eastAsia="zh-CN"/>
              </w:rPr>
              <w:t>版</w:t>
            </w:r>
            <w:r>
              <w:rPr>
                <w:rFonts w:hint="eastAsia"/>
                <w:spacing w:val="0"/>
                <w:kern w:val="0"/>
                <w:vertAlign w:val="baseline"/>
                <w:lang w:val="en-US" w:eastAsia="zh-CN"/>
              </w:rPr>
              <w:t>本</w:t>
            </w:r>
            <w:r>
              <w:rPr>
                <w:rFonts w:hint="default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spacing w:val="66"/>
                <w:kern w:val="0"/>
                <w:u w:val="single"/>
                <w:vertAlign w:val="baseline"/>
                <w:lang w:val="en-US" w:eastAsia="zh-CN"/>
              </w:rPr>
              <w:t>V1.</w:t>
            </w:r>
            <w:r>
              <w:rPr>
                <w:rFonts w:hint="eastAsia"/>
                <w:spacing w:val="0"/>
                <w:kern w:val="0"/>
                <w:u w:val="single"/>
                <w:vertAlign w:val="baseline"/>
                <w:lang w:val="en-US" w:eastAsia="zh-CN"/>
              </w:rPr>
              <w:t>0</w:t>
            </w:r>
          </w:p>
        </w:tc>
        <w:tc>
          <w:tcPr>
            <w:tcW w:w="2708" w:type="dxa"/>
            <w:shd w:val="clear" w:color="auto" w:fill="auto"/>
          </w:tcPr>
          <w:p w14:paraId="345E57E7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 w:ascii="Arial" w:hAnsi="Arial" w:eastAsia="Arial" w:cs="Arial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审核</w:t>
            </w:r>
            <w:bookmarkStart w:id="26" w:name="_GoBack"/>
            <w:bookmarkEnd w:id="26"/>
            <w:r>
              <w:rPr>
                <w:rFonts w:hint="eastAsia"/>
                <w:vertAlign w:val="baseline"/>
                <w:lang w:val="en-US" w:eastAsia="zh-CN"/>
              </w:rPr>
              <w:t>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2025.01.10</w:t>
            </w:r>
          </w:p>
        </w:tc>
      </w:tr>
      <w:tr w14:paraId="1E871EB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35" w:hRule="atLeast"/>
          <w:jc w:val="center"/>
        </w:trPr>
        <w:tc>
          <w:tcPr>
            <w:tcW w:w="2432" w:type="dxa"/>
          </w:tcPr>
          <w:p w14:paraId="288C4D6C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spacing w:val="52"/>
                <w:kern w:val="0"/>
                <w:vertAlign w:val="baseline"/>
                <w:lang w:val="en-US" w:eastAsia="zh-CN"/>
              </w:rPr>
              <w:t>批准人:李文琼</w:t>
            </w:r>
            <w:r>
              <w:rPr>
                <w:rFonts w:hint="eastAsia"/>
                <w:spacing w:val="1"/>
                <w:kern w:val="0"/>
                <w:vertAlign w:val="baseline"/>
                <w:lang w:val="en-US" w:eastAsia="zh-CN"/>
              </w:rPr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</w:r>
            <w:r>
              <w:rPr>
                <w:rFonts w:hint="eastAsia"/>
                <w:u w:val="single"/>
                <w:lang w:val="en-US" w:eastAsia="zh-CN"/>
              </w:rPr>
            </w:r>
          </w:p>
        </w:tc>
        <w:tc>
          <w:tcPr>
            <w:tcW w:w="2708" w:type="dxa"/>
          </w:tcPr>
          <w:p w14:paraId="6887DA17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审批时间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2025.01.10</w:t>
            </w:r>
          </w:p>
        </w:tc>
      </w:tr>
    </w:tbl>
    <w:p w14:paraId="57088A66">
      <w:pPr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</w:pPr>
      <w:r>
        <w:br w:type="page"/>
      </w:r>
    </w:p>
    <w:p w14:paraId="11792F93">
      <w:pPr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spacing w:before="153" w:line="225" w:lineRule="auto"/>
        <w:ind w:left="3634"/>
        <w:textAlignment w:val="baseline"/>
        <w:rPr>
          <w:rFonts w:ascii="宋体" w:hAnsi="宋体" w:eastAsia="宋体" w:cs="宋体"/>
          <w:sz w:val="31"/>
          <w:szCs w:val="31"/>
        </w:rPr>
      </w:pPr>
      <w:r>
        <w:rPr>
          <w:rFonts w:ascii="宋体" w:hAnsi="宋体" w:eastAsia="宋体" w:cs="宋体"/>
          <w:b/>
          <w:bCs/>
          <w:spacing w:val="4"/>
          <w:sz w:val="31"/>
          <w:szCs w:val="31"/>
        </w:rPr>
        <w:t>修订记录</w:t>
      </w:r>
    </w:p>
    <w:tbl>
      <w:tblPr>
        <w:tblStyle w:val="26"/>
        <w:tblW w:w="7137" w:type="dxa"/>
        <w:jc w:val="center"/>
        <w:tblBorders>
          <w:top w:val="single" w:color="000000" w:sz="2" w:space="0"/>
          <w:left w:val="single" w:color="000000" w:sz="2" w:space="0"/>
          <w:bottom w:val="single" w:color="000000" w:sz="2" w:space="0"/>
          <w:right w:val="single" w:color="000000" w:sz="2" w:space="0"/>
          <w:insideH w:val="single" w:color="000000" w:sz="2" w:space="0"/>
          <w:insideV w:val="single" w:color="000000" w:sz="2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2689"/>
        <w:gridCol w:w="919"/>
        <w:gridCol w:w="2289"/>
        <w:gridCol w:w="1240"/>
      </w:tblGrid>
      <w:tr w14:paraId="42E66E33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93" w:hRule="atLeast"/>
          <w:jc w:val="center"/>
        </w:trPr>
        <w:tc>
          <w:tcPr>
            <w:tcW w:w="2689" w:type="dxa"/>
          </w:tcPr>
          <w:p w14:paraId="17334870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6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-14"/>
                <w:sz w:val="20"/>
                <w:szCs w:val="20"/>
              </w:rPr>
              <w:t>日期</w:t>
            </w:r>
          </w:p>
        </w:tc>
        <w:tc>
          <w:tcPr>
            <w:tcW w:w="919" w:type="dxa"/>
          </w:tcPr>
          <w:p w14:paraId="5E85054D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5" w:line="227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4"/>
                <w:sz w:val="20"/>
                <w:szCs w:val="20"/>
              </w:rPr>
              <w:t>版本</w:t>
            </w:r>
          </w:p>
        </w:tc>
        <w:tc>
          <w:tcPr>
            <w:tcW w:w="2289" w:type="dxa"/>
          </w:tcPr>
          <w:p w14:paraId="2B53D35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5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7"/>
                <w:sz w:val="20"/>
                <w:szCs w:val="20"/>
              </w:rPr>
              <w:t>变更说明</w:t>
            </w:r>
          </w:p>
        </w:tc>
        <w:tc>
          <w:tcPr>
            <w:tcW w:w="1240" w:type="dxa"/>
          </w:tcPr>
          <w:p w14:paraId="470146D2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6" w:line="229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7"/>
                <w:sz w:val="20"/>
                <w:szCs w:val="20"/>
              </w:rPr>
              <w:t>批准人</w:t>
            </w:r>
          </w:p>
        </w:tc>
      </w:tr>
      <w:tr w14:paraId="32DBC12F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6" w:hRule="atLeast"/>
          <w:jc w:val="center"/>
        </w:trPr>
        <w:tc>
          <w:tcPr>
            <w:tcW w:w="2689" w:type="dxa"/>
          </w:tcPr>
          <w:p w14:paraId="0BA4ADBC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67" w:lineRule="exact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宋体" w:hAnsi="宋体" w:eastAsia="宋体" w:cs="宋体"/>
                <w:sz w:val="20"/>
                <w:szCs w:val="20"/>
                <w:lang w:val="en-US" w:eastAsia="zh-CN"/>
              </w:rPr>
            </w:pPr>
            <w:r>
              <w:rPr>
                <w:rFonts w:ascii="宋体" w:hAnsi="宋体" w:eastAsia="宋体" w:cs="宋体"/>
                <w:spacing w:val="3"/>
                <w:position w:val="1"/>
                <w:sz w:val="20"/>
                <w:szCs w:val="20"/>
              </w:rPr>
              <w:t>2025.01.</w:t>
            </w:r>
            <w:r>
              <w:rPr>
                <w:rFonts w:hint="eastAsia" w:ascii="宋体" w:hAnsi="宋体" w:cs="宋体"/>
                <w:spacing w:val="3"/>
                <w:position w:val="1"/>
                <w:sz w:val="20"/>
                <w:szCs w:val="20"/>
                <w:lang w:val="en-US" w:eastAsia="zh-CN"/>
              </w:rPr>
              <w:t>10</w:t>
            </w:r>
          </w:p>
        </w:tc>
        <w:tc>
          <w:tcPr>
            <w:tcW w:w="919" w:type="dxa"/>
          </w:tcPr>
          <w:p w14:paraId="52B2C9B9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67" w:lineRule="exact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4"/>
                <w:position w:val="1"/>
                <w:sz w:val="20"/>
                <w:szCs w:val="20"/>
              </w:rPr>
              <w:t>V1.0</w:t>
            </w:r>
          </w:p>
        </w:tc>
        <w:tc>
          <w:tcPr>
            <w:tcW w:w="2289" w:type="dxa"/>
          </w:tcPr>
          <w:p w14:paraId="396B8C4A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2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7"/>
                <w:sz w:val="20"/>
                <w:szCs w:val="20"/>
              </w:rPr>
              <w:t>新建</w:t>
            </w:r>
          </w:p>
        </w:tc>
        <w:tc>
          <w:tcPr>
            <w:tcW w:w="1240" w:type="dxa"/>
          </w:tcPr>
          <w:p w14:paraId="7040568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29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hint="eastAsia"/>
                <w:lang w:val="en-US" w:eastAsia="zh-CN"/>
              </w:rPr>
              <w:t>李文琼</w:t>
            </w:r>
          </w:p>
        </w:tc>
      </w:tr>
      <w:tr w14:paraId="604241A5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 w:hRule="atLeast"/>
          <w:jc w:val="center"/>
        </w:trPr>
        <w:tc>
          <w:tcPr>
            <w:tcW w:w="2689" w:type="dxa"/>
          </w:tcPr>
          <w:p w14:paraId="0D321C0F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919" w:type="dxa"/>
          </w:tcPr>
          <w:p w14:paraId="6F632EE2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2289" w:type="dxa"/>
          </w:tcPr>
          <w:p w14:paraId="1C1B8C43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240" w:type="dxa"/>
          </w:tcPr>
          <w:p w14:paraId="12638662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</w:tr>
      <w:tr w14:paraId="7E347083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 w:hRule="atLeast"/>
          <w:jc w:val="center"/>
        </w:trPr>
        <w:tc>
          <w:tcPr>
            <w:tcW w:w="2689" w:type="dxa"/>
          </w:tcPr>
          <w:p w14:paraId="4D2CBA4E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919" w:type="dxa"/>
          </w:tcPr>
          <w:p w14:paraId="27E244D8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2289" w:type="dxa"/>
          </w:tcPr>
          <w:p w14:paraId="24D168FE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240" w:type="dxa"/>
          </w:tcPr>
          <w:p w14:paraId="13C1E5C9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</w:tr>
      <w:tr w14:paraId="36076618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7" w:hRule="atLeast"/>
          <w:jc w:val="center"/>
        </w:trPr>
        <w:tc>
          <w:tcPr>
            <w:tcW w:w="2689" w:type="dxa"/>
          </w:tcPr>
          <w:p w14:paraId="121FD8F4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919" w:type="dxa"/>
          </w:tcPr>
          <w:p w14:paraId="5561DF92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2289" w:type="dxa"/>
          </w:tcPr>
          <w:p w14:paraId="75943F85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240" w:type="dxa"/>
          </w:tcPr>
          <w:p w14:paraId="6325CDCD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</w:tr>
    </w:tbl>
    <w:p w14:paraId="5445F7AF">
      <w:pPr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</w:pPr>
      <w:r>
        <w:br w:type="page"/>
      </w:r>
    </w:p>
    <w:sdt>
      <w:sdtPr>
        <w:rPr>
          <w:rFonts w:ascii="宋体" w:hAnsi="宋体" w:eastAsia="宋体" w:cs="Arial"/>
          <w:snapToGrid w:val="0"/>
          <w:color w:val="000000"/>
          <w:kern w:val="0"/>
          <w:sz w:val="21"/>
          <w:szCs w:val="21"/>
          <w:lang w:val="en-US" w:eastAsia="en-US" w:bidi="ar-SA"/>
        </w:rPr>
        <w:id w:val="147468666"/>
        <w:docPartObj>
          <w:docPartGallery w:val="Table of Contents"/>
          <w:docPartUnique/>
        </w:docPartObj>
      </w:sdtPr>
      <w:sdtEndPr>
        <w:rPr>
          <w:rFonts w:hint="eastAsia" w:ascii="宋体" w:hAnsi="宋体" w:eastAsia="宋体" w:cs="宋体"/>
          <w:snapToGrid w:val="0"/>
          <w:color w:val="000000"/>
          <w:kern w:val="0"/>
          <w:sz w:val="24"/>
          <w:szCs w:val="24"/>
          <w:lang w:val="en-US" w:eastAsia="en-US" w:bidi="ar-SA"/>
        </w:rPr>
      </w:sdtEndPr>
      <w:sdtContent>
        <w:p w14:paraId="62AD47C5">
          <w:pPr>
            <w:keepNext w:val="0"/>
            <w:keepLines w:val="0"/>
            <w:pageBreakBefore w:val="0"/>
            <w:widowControl w:val="0"/>
            <w:kinsoku w:val="0"/>
            <w:wordWrap/>
            <w:overflowPunct/>
            <w:autoSpaceDE w:val="0"/>
            <w:autoSpaceDN w:val="0"/>
            <w:bidi w:val="0"/>
            <w:adjustRightInd w:val="0"/>
            <w:snapToGrid w:val="0"/>
            <w:spacing w:before="0" w:beforeLines="0" w:after="0" w:afterLines="0" w:line="240" w:lineRule="auto"/>
            <w:ind w:left="0" w:leftChars="0" w:right="0" w:rightChars="0" w:firstLine="0" w:firstLineChars="0"/>
            <w:jc w:val="center"/>
            <w:textAlignment w:val="baseline"/>
            <w:rPr>
              <w:rFonts w:hint="eastAsia" w:ascii="宋体" w:hAnsi="宋体" w:eastAsia="宋体" w:cs="宋体"/>
              <w:sz w:val="24"/>
              <w:szCs w:val="24"/>
            </w:rPr>
          </w:pPr>
          <w:r>
            <w:rPr>
              <w:rFonts w:hint="eastAsia" w:ascii="宋体" w:hAnsi="宋体" w:eastAsia="宋体" w:cs="宋体"/>
              <w:sz w:val="24"/>
              <w:szCs w:val="24"/>
            </w:rPr>
            <w:t>目录</w:t>
          </w:r>
        </w:p>
        <w:p w14:paraId="21BC2405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 w:val="24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 w:val="24"/>
              <w:szCs w:val="24"/>
            </w:rPr>
            <w:instrText xml:space="preserve">TOC \o "1-3" \h \u </w:instrText>
          </w:r>
          <w:r>
            <w:rPr>
              <w:rFonts w:hint="eastAsia" w:ascii="宋体" w:hAnsi="宋体" w:eastAsia="宋体" w:cs="宋体"/>
              <w:sz w:val="24"/>
              <w:szCs w:val="24"/>
            </w:rPr>
            <w:fldChar w:fldCharType="separate"/>
          </w: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_Toc20680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eastAsia"/>
              <w:lang w:val="en-US" w:eastAsia="zh-CN"/>
            </w:rPr>
            <w:t>重庆市鹧鸪哨信息技术有限责任公司</w:t>
          </w:r>
          <w:r>
            <w:tab/>
          </w:r>
          <w:r>
            <w:fldChar w:fldCharType="begin"/>
          </w:r>
          <w:r>
            <w:instrText xml:space="preserve"> PAGEREF _Toc20680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706A465E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_Toc29322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eastAsia"/>
              <w:lang w:val="en-US" w:eastAsia="zh-CN"/>
            </w:rPr>
            <w:t>人员能力评价管理制度</w:t>
          </w:r>
          <w:r>
            <w:tab/>
          </w:r>
          <w:r>
            <w:fldChar w:fldCharType="begin"/>
          </w:r>
          <w:r>
            <w:instrText xml:space="preserve"> PAGEREF _Toc29322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428DCCEA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_Toc31042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1. </w:t>
          </w:r>
          <w:r>
            <w:rPr>
              <w:rFonts w:hint="eastAsia"/>
              <w:lang w:val="en-US" w:eastAsia="zh-CN"/>
            </w:rPr>
            <w:t>总则</w:t>
          </w:r>
          <w:r>
            <w:tab/>
          </w:r>
          <w:r>
            <w:fldChar w:fldCharType="begin"/>
          </w:r>
          <w:r>
            <w:instrText xml:space="preserve"> PAGEREF _Toc31042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389F091E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_Toc2388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1.1. </w:t>
          </w:r>
          <w:r>
            <w:rPr>
              <w:rFonts w:hint="eastAsia"/>
              <w:lang w:val="en-US" w:eastAsia="zh-CN"/>
            </w:rPr>
            <w:t>目的</w:t>
          </w:r>
          <w:r>
            <w:tab/>
          </w:r>
          <w:r>
            <w:fldChar w:fldCharType="begin"/>
          </w:r>
          <w:r>
            <w:instrText xml:space="preserve"> PAGEREF _Toc2388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5CAB8066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_Toc29660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1.2. </w:t>
          </w:r>
          <w:r>
            <w:rPr>
              <w:rFonts w:hint="eastAsia"/>
              <w:lang w:val="en-US" w:eastAsia="zh-CN"/>
            </w:rPr>
            <w:t>适用范围</w:t>
          </w:r>
          <w:r>
            <w:tab/>
          </w:r>
          <w:r>
            <w:fldChar w:fldCharType="begin"/>
          </w:r>
          <w:r>
            <w:instrText xml:space="preserve"> PAGEREF _Toc29660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5105EE96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_Toc3513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1.3. </w:t>
          </w:r>
          <w:r>
            <w:rPr>
              <w:rFonts w:hint="eastAsia"/>
              <w:lang w:val="en-US" w:eastAsia="zh-CN"/>
            </w:rPr>
            <w:t>原则</w:t>
          </w:r>
          <w:r>
            <w:tab/>
          </w:r>
          <w:r>
            <w:fldChar w:fldCharType="begin"/>
          </w:r>
          <w:r>
            <w:instrText xml:space="preserve"> PAGEREF _Toc3513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7095A5A6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_Toc30389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1.4. </w:t>
          </w:r>
          <w:r>
            <w:rPr>
              <w:rFonts w:hint="eastAsia"/>
              <w:lang w:val="en-US" w:eastAsia="zh-CN"/>
            </w:rPr>
            <w:t>岗位职责</w:t>
          </w:r>
          <w:r>
            <w:tab/>
          </w:r>
          <w:r>
            <w:fldChar w:fldCharType="begin"/>
          </w:r>
          <w:r>
            <w:instrText xml:space="preserve"> PAGEREF _Toc30389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5CB00A07">
          <w:pPr>
            <w:pStyle w:val="13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_Toc3895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1.4.1. </w:t>
          </w:r>
          <w:r>
            <w:rPr>
              <w:rFonts w:hint="eastAsia"/>
              <w:lang w:val="en-US" w:eastAsia="zh-CN"/>
            </w:rPr>
            <w:t>行政部</w:t>
          </w:r>
          <w:r>
            <w:tab/>
          </w:r>
          <w:r>
            <w:fldChar w:fldCharType="begin"/>
          </w:r>
          <w:r>
            <w:instrText xml:space="preserve"> PAGEREF _Toc3895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04F81D9A">
          <w:pPr>
            <w:pStyle w:val="13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_Toc9669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1.4.2. 各部门负责人</w:t>
          </w:r>
          <w:r>
            <w:tab/>
          </w:r>
          <w:r>
            <w:fldChar w:fldCharType="begin"/>
          </w:r>
          <w:r>
            <w:instrText xml:space="preserve"> PAGEREF _Toc9669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70FC8EC0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_Toc29326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2. </w:t>
          </w:r>
          <w:r>
            <w:rPr>
              <w:rFonts w:hint="eastAsia"/>
              <w:lang w:val="en-US" w:eastAsia="zh-CN"/>
            </w:rPr>
            <w:t>引用依据</w:t>
          </w:r>
          <w:r>
            <w:tab/>
          </w:r>
          <w:r>
            <w:fldChar w:fldCharType="begin"/>
          </w:r>
          <w:r>
            <w:instrText xml:space="preserve"> PAGEREF _Toc29326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527005EF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_Toc2249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3. </w:t>
          </w:r>
          <w:r>
            <w:rPr>
              <w:rFonts w:hint="eastAsia"/>
              <w:lang w:val="en-US" w:eastAsia="zh-CN"/>
            </w:rPr>
            <w:t>定义与术语</w:t>
          </w:r>
          <w:r>
            <w:tab/>
          </w:r>
          <w:r>
            <w:fldChar w:fldCharType="begin"/>
          </w:r>
          <w:r>
            <w:instrText xml:space="preserve"> PAGEREF _Toc2249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0A9255BF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_Toc1666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3.1. </w:t>
          </w:r>
          <w:r>
            <w:rPr>
              <w:rFonts w:hint="eastAsia"/>
              <w:lang w:eastAsia="zh-CN"/>
            </w:rPr>
            <w:t>能力评价</w:t>
          </w:r>
          <w:r>
            <w:tab/>
          </w:r>
          <w:r>
            <w:fldChar w:fldCharType="begin"/>
          </w:r>
          <w:r>
            <w:instrText xml:space="preserve"> PAGEREF _Toc1666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0FA199E2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_Toc27020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3.2. </w:t>
          </w:r>
          <w:r>
            <w:rPr>
              <w:rFonts w:hint="eastAsia"/>
              <w:lang w:eastAsia="zh-CN"/>
            </w:rPr>
            <w:t>能力</w:t>
          </w:r>
          <w:r>
            <w:rPr>
              <w:rFonts w:hint="eastAsia"/>
            </w:rPr>
            <w:t>等级</w:t>
          </w:r>
          <w:r>
            <w:tab/>
          </w:r>
          <w:r>
            <w:fldChar w:fldCharType="begin"/>
          </w:r>
          <w:r>
            <w:instrText xml:space="preserve"> PAGEREF _Toc27020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0AAC83F9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_Toc4987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3.3. </w:t>
          </w:r>
          <w:r>
            <w:rPr>
              <w:rFonts w:hint="eastAsia"/>
            </w:rPr>
            <w:t>发展通道</w:t>
          </w:r>
          <w:r>
            <w:tab/>
          </w:r>
          <w:r>
            <w:fldChar w:fldCharType="begin"/>
          </w:r>
          <w:r>
            <w:instrText xml:space="preserve"> PAGEREF _Toc4987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1891D9B9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_Toc9589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4. </w:t>
          </w:r>
          <w:r>
            <w:rPr>
              <w:rFonts w:hint="eastAsia"/>
              <w:lang w:val="en-US" w:eastAsia="zh-CN"/>
            </w:rPr>
            <w:t>管理内容与要求</w:t>
          </w:r>
          <w:r>
            <w:tab/>
          </w:r>
          <w:r>
            <w:fldChar w:fldCharType="begin"/>
          </w:r>
          <w:r>
            <w:instrText xml:space="preserve"> PAGEREF _Toc9589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36D09AC2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_Toc25954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4.1. 评定周期与组织</w:t>
          </w:r>
          <w:r>
            <w:tab/>
          </w:r>
          <w:r>
            <w:fldChar w:fldCharType="begin"/>
          </w:r>
          <w:r>
            <w:instrText xml:space="preserve"> PAGEREF _Toc25954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3C005F1D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_Toc5248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4.2. </w:t>
          </w:r>
          <w:r>
            <w:rPr>
              <w:rFonts w:hint="eastAsia"/>
              <w:lang w:val="en-US" w:eastAsia="zh-CN"/>
            </w:rPr>
            <w:t>能力</w:t>
          </w:r>
          <w:r>
            <w:rPr>
              <w:rFonts w:hint="default"/>
              <w:lang w:val="en-US" w:eastAsia="zh-CN"/>
            </w:rPr>
            <w:t>体系与通道</w:t>
          </w:r>
          <w:r>
            <w:tab/>
          </w:r>
          <w:r>
            <w:fldChar w:fldCharType="begin"/>
          </w:r>
          <w:r>
            <w:instrText xml:space="preserve"> PAGEREF _Toc5248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202E928B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_Toc2346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4.3. 评定规则</w:t>
          </w:r>
          <w:r>
            <w:tab/>
          </w:r>
          <w:r>
            <w:fldChar w:fldCharType="begin"/>
          </w:r>
          <w:r>
            <w:instrText xml:space="preserve"> PAGEREF _Toc2346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5D38D8BD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_Toc30990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4.4. 评定流程</w:t>
          </w:r>
          <w:r>
            <w:tab/>
          </w:r>
          <w:r>
            <w:fldChar w:fldCharType="begin"/>
          </w:r>
          <w:r>
            <w:instrText xml:space="preserve"> PAGEREF _Toc30990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5BDA67F8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_Toc1002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4.5. </w:t>
          </w:r>
          <w:r>
            <w:rPr>
              <w:rFonts w:hint="eastAsia"/>
              <w:lang w:val="en-US" w:eastAsia="zh-CN"/>
            </w:rPr>
            <w:t>考核指标</w:t>
          </w:r>
          <w:r>
            <w:tab/>
          </w:r>
          <w:r>
            <w:fldChar w:fldCharType="begin"/>
          </w:r>
          <w:r>
            <w:instrText xml:space="preserve"> PAGEREF _Toc1002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4B7A04D6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_Toc18227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 w:eastAsia="宋体"/>
              <w:lang w:val="en-US" w:eastAsia="zh-CN"/>
            </w:rPr>
            <w:t xml:space="preserve">5. </w:t>
          </w:r>
          <w:r>
            <w:rPr>
              <w:rFonts w:hint="eastAsia" w:eastAsia="宋体"/>
              <w:lang w:val="en-US" w:eastAsia="zh-CN"/>
            </w:rPr>
            <w:t>附则</w:t>
          </w:r>
          <w:r>
            <w:tab/>
          </w:r>
          <w:r>
            <w:fldChar w:fldCharType="begin"/>
          </w:r>
          <w:r>
            <w:instrText xml:space="preserve"> PAGEREF _Toc18227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7731C3C8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_Toc14190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6. </w:t>
          </w:r>
          <w:r>
            <w:rPr>
              <w:rFonts w:hint="eastAsia"/>
              <w:lang w:val="en-US" w:eastAsia="zh-CN"/>
            </w:rPr>
            <w:t>附件</w:t>
          </w:r>
          <w:r>
            <w:tab/>
          </w:r>
          <w:r>
            <w:fldChar w:fldCharType="begin"/>
          </w:r>
          <w:r>
            <w:instrText xml:space="preserve"> PAGEREF _Toc14190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6AF48B5D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_Toc18280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7. </w:t>
          </w:r>
          <w:r>
            <w:rPr>
              <w:rFonts w:hint="eastAsia"/>
              <w:lang w:val="en-US" w:eastAsia="zh-CN"/>
            </w:rPr>
            <w:t>记录</w:t>
          </w:r>
          <w:r>
            <w:tab/>
          </w:r>
          <w:r>
            <w:fldChar w:fldCharType="begin"/>
          </w:r>
          <w:r>
            <w:instrText xml:space="preserve"> PAGEREF _Toc18280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18D7E477">
          <w:pPr>
            <w:keepNext w:val="0"/>
            <w:keepLines w:val="0"/>
            <w:pageBreakBefore w:val="0"/>
            <w:widowControl w:val="0"/>
            <w:kinsoku w:val="0"/>
            <w:wordWrap/>
            <w:overflowPunct/>
            <w:autoSpaceDE w:val="0"/>
            <w:autoSpaceDN w:val="0"/>
            <w:bidi w:val="0"/>
            <w:adjustRightInd w:val="0"/>
            <w:snapToGrid w:val="0"/>
            <w:textAlignment w:val="baseline"/>
            <w:rPr>
              <w:rFonts w:hint="eastAsia" w:ascii="宋体" w:hAnsi="宋体" w:eastAsia="宋体" w:cs="宋体"/>
              <w:snapToGrid w:val="0"/>
              <w:color w:val="000000"/>
              <w:kern w:val="0"/>
              <w:sz w:val="24"/>
              <w:szCs w:val="24"/>
              <w:lang w:val="en-US" w:eastAsia="en-US" w:bidi="ar-SA"/>
            </w:rPr>
          </w:pP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</w:sdtContent>
    </w:sdt>
    <w:p w14:paraId="302A7B2F">
      <w:pPr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ascii="Arial" w:hAnsi="Arial" w:eastAsia="Arial" w:cs="Arial"/>
          <w:snapToGrid w:val="0"/>
          <w:color w:val="000000"/>
          <w:kern w:val="0"/>
          <w:sz w:val="21"/>
          <w:szCs w:val="21"/>
          <w:lang w:val="en-US" w:eastAsia="en-US" w:bidi="ar-SA"/>
        </w:rPr>
      </w:pPr>
      <w:r>
        <w:rPr>
          <w:rFonts w:ascii="Arial" w:hAnsi="Arial" w:eastAsia="Arial" w:cs="Arial"/>
          <w:snapToGrid w:val="0"/>
          <w:color w:val="000000"/>
          <w:kern w:val="0"/>
          <w:sz w:val="21"/>
          <w:szCs w:val="21"/>
          <w:lang w:val="en-US" w:eastAsia="en-US" w:bidi="ar-SA"/>
        </w:rPr>
        <w:br w:type="page"/>
      </w:r>
    </w:p>
    <w:p w14:paraId="77D93DC3">
      <w:pPr>
        <w:pStyle w:val="28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bookmarkStart w:id="2" w:name="_Toc31042"/>
      <w:r>
        <w:rPr>
          <w:rFonts w:hint="eastAsia"/>
          <w:lang w:val="en-US" w:eastAsia="zh-CN"/>
        </w:rPr>
        <w:t>总则</w:t>
      </w:r>
      <w:bookmarkEnd w:id="2"/>
    </w:p>
    <w:p w14:paraId="169CF481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r>
        <w:t>为建立科学、规范的员工</w:t>
      </w:r>
      <w:r>
        <w:rPr>
          <w:rFonts w:hint="eastAsia"/>
          <w:lang w:eastAsia="zh-CN"/>
        </w:rPr>
        <w:t>能力</w:t>
      </w:r>
      <w:r>
        <w:t>评价体系，明确员工专业</w:t>
      </w:r>
      <w:r>
        <w:rPr>
          <w:rFonts w:hint="eastAsia"/>
          <w:lang w:eastAsia="zh-CN"/>
        </w:rPr>
        <w:t>能力</w:t>
      </w:r>
      <w:r>
        <w:t>发展通道，实现对员工能力价值的准确评估与有效激励，并为薪酬核定、人才选拔与培养提供核心依据，特制定本制度。</w:t>
      </w:r>
    </w:p>
    <w:p w14:paraId="3F940887">
      <w:pPr>
        <w:pStyle w:val="30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bookmarkStart w:id="3" w:name="_Toc2388"/>
      <w:r>
        <w:rPr>
          <w:rFonts w:hint="eastAsia"/>
          <w:lang w:val="en-US" w:eastAsia="zh-CN"/>
        </w:rPr>
        <w:t>目的</w:t>
      </w:r>
      <w:bookmarkEnd w:id="3"/>
    </w:p>
    <w:p w14:paraId="020650D5">
      <w:pPr>
        <w:pStyle w:val="30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bookmarkStart w:id="4" w:name="_Toc29660"/>
      <w:r>
        <w:rPr>
          <w:rFonts w:hint="eastAsia"/>
          <w:lang w:val="en-US" w:eastAsia="zh-CN"/>
        </w:rPr>
        <w:t>适用范围</w:t>
      </w:r>
      <w:bookmarkEnd w:id="4"/>
    </w:p>
    <w:p w14:paraId="737740EF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r>
        <w:t>本制度适用于公司全体在职员工。</w:t>
      </w:r>
    </w:p>
    <w:p w14:paraId="56C7B8D8">
      <w:pPr>
        <w:pStyle w:val="30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bookmarkStart w:id="5" w:name="_Toc3513"/>
      <w:r>
        <w:rPr>
          <w:rFonts w:hint="eastAsia"/>
          <w:lang w:val="en-US" w:eastAsia="zh-CN"/>
        </w:rPr>
        <w:t>原则</w:t>
      </w:r>
      <w:bookmarkEnd w:id="5"/>
    </w:p>
    <w:p w14:paraId="287523A4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</w:pPr>
      <w:r>
        <w:t>本制度遵循以下基本原则：</w:t>
      </w:r>
    </w:p>
    <w:p w14:paraId="75B31C07">
      <w:pPr>
        <w:pStyle w:val="29"/>
        <w:keepNext w:val="0"/>
        <w:keepLines w:val="0"/>
        <w:pageBreakBefore w:val="0"/>
        <w:widowControl w:val="0"/>
        <w:numPr>
          <w:ilvl w:val="0"/>
          <w:numId w:val="2"/>
        </w:numPr>
        <w:kinsoku w:val="0"/>
        <w:wordWrap/>
        <w:overflowPunct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能力导向原则：以员工实际具备和展现的专业能力、业务能力与业绩成果作为评定核心。</w:t>
      </w:r>
    </w:p>
    <w:p w14:paraId="7F770A74">
      <w:pPr>
        <w:pStyle w:val="29"/>
        <w:keepNext w:val="0"/>
        <w:keepLines w:val="0"/>
        <w:pageBreakBefore w:val="0"/>
        <w:widowControl w:val="0"/>
        <w:numPr>
          <w:ilvl w:val="0"/>
          <w:numId w:val="2"/>
        </w:numPr>
        <w:kinsoku w:val="0"/>
        <w:wordWrap/>
        <w:overflowPunct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综合评价原则：结合能力考核、工作绩效、项目贡献、专业知识及司龄等多维度进行综合评估。</w:t>
      </w:r>
    </w:p>
    <w:p w14:paraId="0FB3E75D">
      <w:pPr>
        <w:pStyle w:val="29"/>
        <w:keepNext w:val="0"/>
        <w:keepLines w:val="0"/>
        <w:pageBreakBefore w:val="0"/>
        <w:widowControl w:val="0"/>
        <w:numPr>
          <w:ilvl w:val="0"/>
          <w:numId w:val="2"/>
        </w:numPr>
        <w:kinsoku w:val="0"/>
        <w:wordWrap/>
        <w:overflowPunct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动态管理原则：能力等级非终身制，根据定期评定结果可晋升、保留或下调，实现能上能下。</w:t>
      </w:r>
    </w:p>
    <w:p w14:paraId="3358225B">
      <w:pPr>
        <w:pStyle w:val="30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6" w:name="_Toc30389"/>
      <w:r>
        <w:rPr>
          <w:rFonts w:hint="eastAsia"/>
          <w:lang w:val="en-US" w:eastAsia="zh-CN"/>
        </w:rPr>
        <w:t>岗位职责</w:t>
      </w:r>
      <w:bookmarkEnd w:id="6"/>
    </w:p>
    <w:p w14:paraId="3F76CB73">
      <w:pPr>
        <w:pStyle w:val="31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7" w:name="_Toc3895"/>
      <w:r>
        <w:rPr>
          <w:rFonts w:hint="eastAsia"/>
          <w:lang w:val="en-US" w:eastAsia="zh-CN"/>
        </w:rPr>
        <w:t>人力部</w:t>
      </w:r>
      <w:bookmarkEnd w:id="7"/>
    </w:p>
    <w:p w14:paraId="1AA9F7D4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作为本制度的归口管理部门，负责制定、修订、解释与推行；组织评定工作，监督评定流程，受理相关咨询与申诉。</w:t>
      </w:r>
    </w:p>
    <w:p w14:paraId="305D5E26">
      <w:pPr>
        <w:pStyle w:val="31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8" w:name="_Toc9669"/>
      <w:r>
        <w:rPr>
          <w:rFonts w:hint="default"/>
          <w:lang w:val="en-US" w:eastAsia="zh-CN"/>
        </w:rPr>
        <w:t>各部门负责人</w:t>
      </w:r>
      <w:bookmarkEnd w:id="8"/>
    </w:p>
    <w:p w14:paraId="63E90F59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负责组织本部门员工的</w:t>
      </w:r>
      <w:r>
        <w:rPr>
          <w:rFonts w:hint="eastAsia"/>
          <w:lang w:val="en-US" w:eastAsia="zh-CN"/>
        </w:rPr>
        <w:t>能力评价</w:t>
      </w:r>
      <w:r>
        <w:rPr>
          <w:rFonts w:hint="default"/>
          <w:lang w:val="en-US" w:eastAsia="zh-CN"/>
        </w:rPr>
        <w:t>申报、初评与推荐，确保评定材料的真实性与准确性。</w:t>
      </w:r>
    </w:p>
    <w:p w14:paraId="0696424D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</w:p>
    <w:p w14:paraId="5D339C97">
      <w:pPr>
        <w:pStyle w:val="28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bookmarkStart w:id="9" w:name="_Toc29326"/>
      <w:r>
        <w:rPr>
          <w:rFonts w:hint="eastAsia"/>
          <w:lang w:val="en-US" w:eastAsia="zh-CN"/>
        </w:rPr>
        <w:t>引用依据</w:t>
      </w:r>
      <w:bookmarkEnd w:id="9"/>
    </w:p>
    <w:p w14:paraId="02874BB2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本制度的制定遵循以下国家、行业标准及公司内部规章：</w:t>
      </w:r>
    </w:p>
    <w:p w14:paraId="7F93D1F0">
      <w:pPr>
        <w:pStyle w:val="29"/>
        <w:keepNext w:val="0"/>
        <w:keepLines w:val="0"/>
        <w:pageBreakBefore w:val="0"/>
        <w:widowControl w:val="0"/>
        <w:numPr>
          <w:ilvl w:val="0"/>
          <w:numId w:val="3"/>
        </w:numPr>
        <w:kinsoku w:val="0"/>
        <w:wordWrap/>
        <w:overflowPunct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GB/T 28827.1-2022《信息技术服务 运行维护 第1部分：通用要求》</w:t>
      </w:r>
    </w:p>
    <w:p w14:paraId="3529D51B">
      <w:pPr>
        <w:pStyle w:val="29"/>
        <w:keepNext w:val="0"/>
        <w:keepLines w:val="0"/>
        <w:pageBreakBefore w:val="0"/>
        <w:widowControl w:val="0"/>
        <w:numPr>
          <w:ilvl w:val="0"/>
          <w:numId w:val="3"/>
        </w:numPr>
        <w:kinsoku w:val="0"/>
        <w:wordWrap/>
        <w:overflowPunct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GB/T 28827.2-2012《信息技术服务 运行维护 第2部分：交付规范》</w:t>
      </w:r>
    </w:p>
    <w:p w14:paraId="368FAF78">
      <w:pPr>
        <w:pStyle w:val="29"/>
        <w:keepNext w:val="0"/>
        <w:keepLines w:val="0"/>
        <w:pageBreakBefore w:val="0"/>
        <w:widowControl w:val="0"/>
        <w:numPr>
          <w:ilvl w:val="0"/>
          <w:numId w:val="3"/>
        </w:numPr>
        <w:kinsoku w:val="0"/>
        <w:wordWrap/>
        <w:overflowPunct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GB/T 28827.3-2012《信息技术服务 运行维护 第3部分：应急响应规范》</w:t>
      </w:r>
    </w:p>
    <w:p w14:paraId="3D8FFC56">
      <w:pPr>
        <w:pStyle w:val="29"/>
        <w:keepNext w:val="0"/>
        <w:keepLines w:val="0"/>
        <w:pageBreakBefore w:val="0"/>
        <w:widowControl w:val="0"/>
        <w:numPr>
          <w:ilvl w:val="0"/>
          <w:numId w:val="3"/>
        </w:numPr>
        <w:kinsoku w:val="0"/>
        <w:wordWrap/>
        <w:overflowPunct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T/CESA 1299—2023《信息技术服务 运行维护服务能力成熟度模型》</w:t>
      </w:r>
    </w:p>
    <w:p w14:paraId="3B9EDBD3">
      <w:pPr>
        <w:pStyle w:val="29"/>
        <w:keepNext w:val="0"/>
        <w:keepLines w:val="0"/>
        <w:pageBreakBefore w:val="0"/>
        <w:widowControl w:val="0"/>
        <w:numPr>
          <w:ilvl w:val="0"/>
          <w:numId w:val="3"/>
        </w:numPr>
        <w:kinsoku w:val="0"/>
        <w:wordWrap/>
        <w:overflowPunct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公司《薪酬管理制度》</w:t>
      </w:r>
    </w:p>
    <w:p w14:paraId="6EB75CD6">
      <w:pPr>
        <w:pStyle w:val="29"/>
        <w:keepNext w:val="0"/>
        <w:keepLines w:val="0"/>
        <w:pageBreakBefore w:val="0"/>
        <w:widowControl w:val="0"/>
        <w:numPr>
          <w:ilvl w:val="0"/>
          <w:numId w:val="3"/>
        </w:numPr>
        <w:kinsoku w:val="0"/>
        <w:wordWrap/>
        <w:overflowPunct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公司《培训管理制度》</w:t>
      </w:r>
    </w:p>
    <w:p w14:paraId="35E3E346">
      <w:pPr>
        <w:pStyle w:val="28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</w:pPr>
      <w:bookmarkStart w:id="10" w:name="_Toc2249"/>
      <w:r>
        <w:rPr>
          <w:rFonts w:hint="eastAsia"/>
          <w:lang w:val="en-US" w:eastAsia="zh-CN"/>
        </w:rPr>
        <w:t>定义与术语</w:t>
      </w:r>
      <w:bookmarkEnd w:id="10"/>
    </w:p>
    <w:p w14:paraId="47D0BB4E">
      <w:pPr>
        <w:pStyle w:val="30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</w:rPr>
      </w:pPr>
      <w:bookmarkStart w:id="11" w:name="_Toc1666"/>
      <w:r>
        <w:rPr>
          <w:rFonts w:hint="eastAsia"/>
          <w:lang w:eastAsia="zh-CN"/>
        </w:rPr>
        <w:t>能力评价</w:t>
      </w:r>
      <w:bookmarkEnd w:id="11"/>
    </w:p>
    <w:p w14:paraId="63648A1B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</w:rPr>
      </w:pPr>
      <w:r>
        <w:rPr>
          <w:rFonts w:hint="eastAsia"/>
        </w:rPr>
        <w:t>指公司依据ITSS系列标准及岗位要求，对员工的专业技术能力、服务过程规范性及业绩贡献进行系统性评估的管理活动。</w:t>
      </w:r>
    </w:p>
    <w:p w14:paraId="01E9511F">
      <w:pPr>
        <w:pStyle w:val="30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</w:rPr>
      </w:pPr>
      <w:bookmarkStart w:id="12" w:name="_Toc27020"/>
      <w:r>
        <w:rPr>
          <w:rFonts w:hint="eastAsia"/>
          <w:lang w:eastAsia="zh-CN"/>
        </w:rPr>
        <w:t>能力</w:t>
      </w:r>
      <w:r>
        <w:rPr>
          <w:rFonts w:hint="eastAsia"/>
        </w:rPr>
        <w:t>等级</w:t>
      </w:r>
      <w:bookmarkEnd w:id="12"/>
    </w:p>
    <w:p w14:paraId="6F6D0B52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</w:rPr>
      </w:pPr>
      <w:r>
        <w:rPr>
          <w:rFonts w:hint="eastAsia"/>
        </w:rPr>
        <w:t>代表员工在ITSS体系下专业</w:t>
      </w:r>
      <w:r>
        <w:rPr>
          <w:rFonts w:hint="eastAsia"/>
          <w:lang w:eastAsia="zh-CN"/>
        </w:rPr>
        <w:t>能力</w:t>
      </w:r>
      <w:r>
        <w:rPr>
          <w:rFonts w:hint="eastAsia"/>
        </w:rPr>
        <w:t>水平的层级，与薪酬激励、职业发展机会挂钩。</w:t>
      </w:r>
    </w:p>
    <w:p w14:paraId="7D2FC6C2">
      <w:pPr>
        <w:pStyle w:val="30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</w:rPr>
      </w:pPr>
      <w:bookmarkStart w:id="13" w:name="_Toc4987"/>
      <w:r>
        <w:rPr>
          <w:rFonts w:hint="eastAsia"/>
        </w:rPr>
        <w:t>发展通道</w:t>
      </w:r>
      <w:bookmarkEnd w:id="13"/>
    </w:p>
    <w:p w14:paraId="69C0E162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</w:rPr>
      </w:pPr>
      <w:r>
        <w:rPr>
          <w:rFonts w:hint="eastAsia"/>
        </w:rPr>
        <w:t>公司为员工设定的职业发展路径，主要包括侧重于服务交付与团队管理的“管理通道”和侧重于专业技术深度与创新的“技术通道”。</w:t>
      </w:r>
    </w:p>
    <w:p w14:paraId="793A7EAB">
      <w:pPr>
        <w:pStyle w:val="28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14" w:name="_Toc9589"/>
      <w:r>
        <w:rPr>
          <w:rFonts w:hint="eastAsia"/>
          <w:lang w:val="en-US" w:eastAsia="zh-CN"/>
        </w:rPr>
        <w:t>管理内容与要求</w:t>
      </w:r>
      <w:bookmarkEnd w:id="14"/>
    </w:p>
    <w:p w14:paraId="02BD781C">
      <w:pPr>
        <w:pStyle w:val="30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15" w:name="_Toc25954"/>
      <w:r>
        <w:rPr>
          <w:rFonts w:hint="default"/>
          <w:lang w:val="en-US" w:eastAsia="zh-CN"/>
        </w:rPr>
        <w:t>评定周期与组织</w:t>
      </w:r>
      <w:bookmarkEnd w:id="15"/>
    </w:p>
    <w:p w14:paraId="5FEC3289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公司每年组织一次集中</w:t>
      </w:r>
      <w:r>
        <w:rPr>
          <w:rFonts w:hint="eastAsia"/>
          <w:lang w:val="en-US" w:eastAsia="zh-CN"/>
        </w:rPr>
        <w:t>能力评价</w:t>
      </w:r>
      <w:r>
        <w:rPr>
          <w:rFonts w:hint="default"/>
          <w:lang w:val="en-US" w:eastAsia="zh-CN"/>
        </w:rPr>
        <w:t>，以确保员工能力与ITSS服务能力体系的持续符合性。</w:t>
      </w:r>
    </w:p>
    <w:p w14:paraId="334A42FD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人力部负责全流程的组织与协调，各业务部门负责依据ITSS标准进行具体实施与初评推荐。</w:t>
      </w:r>
      <w:r>
        <w:rPr>
          <w:rFonts w:hint="default"/>
          <w:lang w:val="en-US" w:eastAsia="zh-CN"/>
        </w:rPr>
      </w:r>
    </w:p>
    <w:p w14:paraId="1D830AB7">
      <w:pPr>
        <w:pStyle w:val="30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16" w:name="_Toc5248"/>
      <w:r>
        <w:rPr>
          <w:rFonts w:hint="eastAsia"/>
          <w:lang w:val="en-US" w:eastAsia="zh-CN"/>
        </w:rPr>
        <w:t>能力</w:t>
      </w:r>
      <w:r>
        <w:rPr>
          <w:rFonts w:hint="default"/>
          <w:lang w:val="en-US" w:eastAsia="zh-CN"/>
        </w:rPr>
        <w:t>体系与通道</w:t>
      </w:r>
      <w:bookmarkEnd w:id="16"/>
    </w:p>
    <w:p w14:paraId="407BF74F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公司设立管理序列与技术序列两大发展通道，其能力模型与岗位设置符合ITSS对人员资源管理的要求。</w:t>
      </w:r>
    </w:p>
    <w:p w14:paraId="6140A7D3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各通道下设不同</w:t>
      </w:r>
      <w:r>
        <w:rPr>
          <w:rFonts w:hint="eastAsia"/>
          <w:lang w:val="en-US" w:eastAsia="zh-CN"/>
        </w:rPr>
        <w:t>能力</w:t>
      </w:r>
      <w:r>
        <w:rPr>
          <w:rFonts w:hint="default"/>
          <w:lang w:val="en-US" w:eastAsia="zh-CN"/>
        </w:rPr>
        <w:t>等级，其能力标准需确保员工具备履行相应服务目录、交付规范及应急响应流程的资格。</w:t>
      </w:r>
    </w:p>
    <w:p w14:paraId="157B4C4F">
      <w:pPr>
        <w:pStyle w:val="30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17" w:name="_Toc2346"/>
      <w:r>
        <w:rPr>
          <w:rFonts w:hint="default"/>
          <w:lang w:val="en-US" w:eastAsia="zh-CN"/>
        </w:rPr>
        <w:t>评定规则</w:t>
      </w:r>
      <w:bookmarkEnd w:id="17"/>
    </w:p>
    <w:p w14:paraId="684B9C0E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能力</w:t>
      </w:r>
      <w:r>
        <w:rPr>
          <w:rFonts w:hint="default"/>
          <w:lang w:val="en-US" w:eastAsia="zh-CN"/>
        </w:rPr>
        <w:t>等级确认主要依据以下维度，并重点考察对ITSS标准的理解与应用：</w:t>
      </w:r>
    </w:p>
    <w:p w14:paraId="2BFC8DD6">
      <w:pPr>
        <w:pStyle w:val="29"/>
        <w:keepNext w:val="0"/>
        <w:keepLines w:val="0"/>
        <w:pageBreakBefore w:val="0"/>
        <w:widowControl w:val="0"/>
        <w:numPr>
          <w:ilvl w:val="0"/>
          <w:numId w:val="4"/>
        </w:numPr>
        <w:kinsoku w:val="0"/>
        <w:wordWrap/>
        <w:overflowPunct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专业知识与</w:t>
      </w:r>
      <w:r>
        <w:rPr>
          <w:rFonts w:hint="eastAsia"/>
          <w:lang w:val="en-US" w:eastAsia="zh-CN"/>
        </w:rPr>
        <w:t>能力</w:t>
      </w:r>
    </w:p>
    <w:p w14:paraId="3A4E8C26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对ITSS系列标准、运维专业知识及服务流程的掌握与应用能力。</w:t>
      </w:r>
    </w:p>
    <w:p w14:paraId="28BB4CFC">
      <w:pPr>
        <w:pStyle w:val="29"/>
        <w:keepNext w:val="0"/>
        <w:keepLines w:val="0"/>
        <w:pageBreakBefore w:val="0"/>
        <w:widowControl w:val="0"/>
        <w:numPr>
          <w:ilvl w:val="0"/>
          <w:numId w:val="4"/>
        </w:numPr>
        <w:kinsoku w:val="0"/>
        <w:wordWrap/>
        <w:overflowPunct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业绩与成果</w:t>
      </w:r>
    </w:p>
    <w:p w14:paraId="14E68203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服务交付、应急响应、客户满意度及持续改进方面的实际贡献。</w:t>
      </w:r>
    </w:p>
    <w:p w14:paraId="47D86EC0">
      <w:pPr>
        <w:pStyle w:val="29"/>
        <w:keepNext w:val="0"/>
        <w:keepLines w:val="0"/>
        <w:pageBreakBefore w:val="0"/>
        <w:widowControl w:val="0"/>
        <w:numPr>
          <w:ilvl w:val="0"/>
          <w:numId w:val="4"/>
        </w:numPr>
        <w:kinsoku w:val="0"/>
        <w:wordWrap/>
        <w:overflowPunct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能力与素质</w:t>
      </w:r>
    </w:p>
    <w:p w14:paraId="30CA63C2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包括沟通协调、团队协作、问题解决及技术创新等核心能力。</w:t>
      </w:r>
    </w:p>
    <w:p w14:paraId="0667295E">
      <w:pPr>
        <w:pStyle w:val="29"/>
        <w:keepNext w:val="0"/>
        <w:keepLines w:val="0"/>
        <w:pageBreakBefore w:val="0"/>
        <w:widowControl w:val="0"/>
        <w:numPr>
          <w:ilvl w:val="0"/>
          <w:numId w:val="4"/>
        </w:numPr>
        <w:kinsoku w:val="0"/>
        <w:wordWrap/>
        <w:overflowPunct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新员工定级</w:t>
      </w:r>
    </w:p>
    <w:p w14:paraId="0372B65E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依据岗位在ITSS体系中的能力要求，结合其学历、专业资质及项目经验，核定初始</w:t>
      </w:r>
      <w:r>
        <w:rPr>
          <w:rFonts w:hint="eastAsia"/>
          <w:lang w:val="en-US" w:eastAsia="zh-CN"/>
        </w:rPr>
        <w:t>能力</w:t>
      </w:r>
      <w:r>
        <w:rPr>
          <w:rFonts w:hint="default"/>
          <w:lang w:val="en-US" w:eastAsia="zh-CN"/>
        </w:rPr>
        <w:t>等级。</w:t>
      </w:r>
    </w:p>
    <w:p w14:paraId="6589D331">
      <w:pPr>
        <w:pStyle w:val="29"/>
        <w:keepNext w:val="0"/>
        <w:keepLines w:val="0"/>
        <w:pageBreakBefore w:val="0"/>
        <w:widowControl w:val="0"/>
        <w:numPr>
          <w:ilvl w:val="0"/>
          <w:numId w:val="4"/>
        </w:numPr>
        <w:kinsoku w:val="0"/>
        <w:wordWrap/>
        <w:overflowPunct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等级调整</w:t>
      </w:r>
    </w:p>
    <w:p w14:paraId="132C405B">
      <w:pPr>
        <w:pStyle w:val="29"/>
        <w:keepNext w:val="0"/>
        <w:keepLines w:val="0"/>
        <w:pageBreakBefore w:val="0"/>
        <w:widowControl w:val="0"/>
        <w:numPr>
          <w:ilvl w:val="0"/>
          <w:numId w:val="5"/>
        </w:numPr>
        <w:kinsoku w:val="0"/>
        <w:wordWrap/>
        <w:overflowPunct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晋升：年度评定达标，且其能力表现符合甚至超越ITSS当前等级能力要求者，可申请晋升。</w:t>
      </w:r>
    </w:p>
    <w:p w14:paraId="58F8893A">
      <w:pPr>
        <w:pStyle w:val="29"/>
        <w:keepNext w:val="0"/>
        <w:keepLines w:val="0"/>
        <w:pageBreakBefore w:val="0"/>
        <w:widowControl w:val="0"/>
        <w:numPr>
          <w:ilvl w:val="0"/>
          <w:numId w:val="5"/>
        </w:numPr>
        <w:kinsoku w:val="0"/>
        <w:wordWrap/>
        <w:overflowPunct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降级：连续两次年度评定未达当前等级标准，或出现重大服务事故、违反核心服务规范者，予以降级处理。</w:t>
      </w:r>
    </w:p>
    <w:p w14:paraId="7DD9BA49">
      <w:pPr>
        <w:pStyle w:val="29"/>
        <w:keepNext w:val="0"/>
        <w:keepLines w:val="0"/>
        <w:pageBreakBefore w:val="0"/>
        <w:widowControl w:val="0"/>
        <w:numPr>
          <w:ilvl w:val="0"/>
          <w:numId w:val="5"/>
        </w:numPr>
        <w:kinsoku w:val="0"/>
        <w:wordWrap/>
        <w:overflowPunct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能力</w:t>
      </w:r>
      <w:r>
        <w:rPr>
          <w:rFonts w:hint="default"/>
          <w:lang w:val="en-US" w:eastAsia="zh-CN"/>
        </w:rPr>
        <w:t>等级对应的薪酬标准按公司现行制度执行，其设计需支持ITSS对关键人才的激励与保留要求。</w:t>
      </w:r>
    </w:p>
    <w:p w14:paraId="32D0F7C2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br w:type="page"/>
      </w:r>
    </w:p>
    <w:p w14:paraId="0B3DA7BE">
      <w:pPr>
        <w:pStyle w:val="30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18" w:name="_Toc30990"/>
      <w:r>
        <w:rPr>
          <w:rFonts w:hint="default"/>
          <w:lang w:val="en-US" w:eastAsia="zh-CN"/>
        </w:rPr>
        <w:t>评定流程</w:t>
      </w:r>
      <w:bookmarkEnd w:id="18"/>
    </w:p>
    <w:p w14:paraId="31626B39">
      <w:pPr>
        <w:pStyle w:val="29"/>
        <w:keepNext w:val="0"/>
        <w:keepLines w:val="0"/>
        <w:pageBreakBefore w:val="0"/>
        <w:widowControl w:val="0"/>
        <w:numPr>
          <w:ilvl w:val="0"/>
          <w:numId w:val="6"/>
        </w:numPr>
        <w:kinsoku w:val="0"/>
        <w:wordWrap/>
        <w:overflowPunct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申报与初评</w:t>
      </w:r>
    </w:p>
    <w:p w14:paraId="560D80BC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员工根据申报条件提交材料，部门负责人依据ITSS相关标准进行审核与初评。</w:t>
      </w:r>
    </w:p>
    <w:p w14:paraId="0A393A9C">
      <w:pPr>
        <w:pStyle w:val="29"/>
        <w:keepNext w:val="0"/>
        <w:keepLines w:val="0"/>
        <w:pageBreakBefore w:val="0"/>
        <w:widowControl w:val="0"/>
        <w:numPr>
          <w:ilvl w:val="0"/>
          <w:numId w:val="6"/>
        </w:numPr>
        <w:kinsoku w:val="0"/>
        <w:wordWrap/>
        <w:overflowPunct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汇总与审核</w:t>
      </w:r>
    </w:p>
    <w:p w14:paraId="64E631FC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人力部对各部门申报材料进行合规性审查，确保评定过程与ITSS人员能力管理要求一致。</w:t>
      </w:r>
      <w:r>
        <w:rPr>
          <w:rFonts w:hint="default"/>
          <w:lang w:val="en-US" w:eastAsia="zh-CN"/>
        </w:rPr>
      </w:r>
    </w:p>
    <w:p w14:paraId="6C7F78A8">
      <w:pPr>
        <w:pStyle w:val="29"/>
        <w:keepNext w:val="0"/>
        <w:keepLines w:val="0"/>
        <w:pageBreakBefore w:val="0"/>
        <w:widowControl w:val="0"/>
        <w:numPr>
          <w:ilvl w:val="0"/>
          <w:numId w:val="6"/>
        </w:numPr>
        <w:kinsoku w:val="0"/>
        <w:wordWrap/>
        <w:overflowPunct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综合评审</w:t>
      </w:r>
    </w:p>
    <w:p w14:paraId="7657CDC0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评定小组对申报材料进行评审，可结合案例答辩、模拟应急场景等方式，重点考察员工对ITSS标准的实践能力，确定最终等级。</w:t>
      </w:r>
    </w:p>
    <w:p w14:paraId="3AADCE87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结果发布与应用：最终结果经审批后公布，并作为薪酬调整、岗位晋升及针对性培训（如ITSS标准培训）的依据。</w:t>
      </w:r>
    </w:p>
    <w:p w14:paraId="3A7D2B0A">
      <w:pPr>
        <w:pStyle w:val="30"/>
        <w:bidi w:val="0"/>
        <w:rPr>
          <w:rFonts w:hint="default"/>
          <w:lang w:val="en-US" w:eastAsia="zh-CN"/>
        </w:rPr>
      </w:pPr>
      <w:bookmarkStart w:id="19" w:name="_Toc1002"/>
      <w:r>
        <w:rPr>
          <w:rFonts w:hint="eastAsia"/>
          <w:lang w:val="en-US" w:eastAsia="zh-CN"/>
        </w:rPr>
        <w:t>考核指标</w:t>
      </w:r>
      <w:bookmarkEnd w:id="19"/>
    </w:p>
    <w:p w14:paraId="3037F9AA">
      <w:pPr>
        <w:pStyle w:val="29"/>
        <w:ind w:left="0" w:leftChars="0" w:right="0" w:rightChars="0" w:firstLine="0" w:firstLineChars="0"/>
        <w:jc w:val="center"/>
        <w:rPr>
          <w:rFonts w:hint="default" w:eastAsia="宋体"/>
          <w:lang w:val="en-US" w:eastAsia="zh-CN"/>
        </w:rPr>
      </w:pPr>
      <w:r>
        <w:rPr>
          <w:rFonts w:hint="eastAsia"/>
          <w:lang w:val="en-US" w:eastAsia="zh-CN"/>
        </w:rPr>
        <w:t>表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 STYLEREF "柴_标题1" \n \* Charformat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4</w:t>
      </w:r>
      <w:r>
        <w:rPr>
          <w:rFonts w:hint="eastAsia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  SEQ 表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1</w:t>
      </w:r>
      <w:r>
        <w:rPr>
          <w:rFonts w:hint="eastAsia"/>
          <w:lang w:val="en-US" w:eastAsia="zh-CN"/>
        </w:rPr>
        <w:fldChar w:fldCharType="end"/>
      </w:r>
      <w:r>
        <w:rPr>
          <w:rFonts w:hint="eastAsia"/>
          <w:lang w:val="en-US" w:eastAsia="zh-CN"/>
        </w:rPr>
        <w:t>人员能力评价指标</w:t>
      </w:r>
    </w:p>
    <w:tbl>
      <w:tblPr>
        <w:tblStyle w:val="21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41"/>
        <w:gridCol w:w="1839"/>
        <w:gridCol w:w="3637"/>
        <w:gridCol w:w="1107"/>
        <w:gridCol w:w="1094"/>
      </w:tblGrid>
      <w:tr w14:paraId="1FB9EF3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41" w:type="dxa"/>
          </w:tcPr>
          <w:p w14:paraId="6369A1C5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  <w:rPr>
                <w:rFonts w:hint="default"/>
                <w:sz w:val="21"/>
                <w:szCs w:val="21"/>
                <w:lang w:val="en-US" w:eastAsia="zh-CN"/>
              </w:rPr>
            </w:pPr>
            <w:r>
              <w:rPr>
                <w:rFonts w:hint="eastAsia"/>
                <w:sz w:val="21"/>
                <w:szCs w:val="21"/>
                <w:lang w:val="en-US" w:eastAsia="zh-CN"/>
              </w:rPr>
              <w:t>序号</w:t>
            </w:r>
          </w:p>
        </w:tc>
        <w:tc>
          <w:tcPr>
            <w:tcW w:w="1839" w:type="dxa"/>
          </w:tcPr>
          <w:p w14:paraId="081E2A2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  <w:rPr>
                <w:rFonts w:hint="default"/>
                <w:sz w:val="21"/>
                <w:szCs w:val="21"/>
                <w:lang w:val="en-US" w:eastAsia="zh-CN"/>
              </w:rPr>
            </w:pPr>
            <w:r>
              <w:rPr>
                <w:rFonts w:hint="eastAsia"/>
                <w:sz w:val="21"/>
                <w:szCs w:val="21"/>
                <w:lang w:val="en-US" w:eastAsia="zh-CN"/>
              </w:rPr>
              <w:t>衡量指标</w:t>
            </w:r>
          </w:p>
        </w:tc>
        <w:tc>
          <w:tcPr>
            <w:tcW w:w="3637" w:type="dxa"/>
          </w:tcPr>
          <w:p w14:paraId="34425F3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  <w:rPr>
                <w:rFonts w:hint="default"/>
                <w:sz w:val="21"/>
                <w:szCs w:val="21"/>
                <w:lang w:val="en-US" w:eastAsia="zh-CN"/>
              </w:rPr>
            </w:pPr>
            <w:r>
              <w:rPr>
                <w:rFonts w:hint="eastAsia"/>
                <w:sz w:val="21"/>
                <w:szCs w:val="21"/>
                <w:lang w:val="en-US" w:eastAsia="zh-CN"/>
              </w:rPr>
              <w:t>指标计算说明</w:t>
            </w:r>
          </w:p>
        </w:tc>
        <w:tc>
          <w:tcPr>
            <w:tcW w:w="1107" w:type="dxa"/>
          </w:tcPr>
          <w:p w14:paraId="1D552A2D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  <w:rPr>
                <w:rFonts w:hint="default"/>
                <w:sz w:val="21"/>
                <w:szCs w:val="21"/>
                <w:lang w:val="en-US" w:eastAsia="zh-CN"/>
              </w:rPr>
            </w:pPr>
            <w:r>
              <w:rPr>
                <w:rFonts w:hint="eastAsia"/>
                <w:sz w:val="21"/>
                <w:szCs w:val="21"/>
                <w:lang w:val="en-US" w:eastAsia="zh-CN"/>
              </w:rPr>
              <w:t>考核频次</w:t>
            </w:r>
          </w:p>
        </w:tc>
        <w:tc>
          <w:tcPr>
            <w:tcW w:w="1094" w:type="dxa"/>
          </w:tcPr>
          <w:p w14:paraId="5255342E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  <w:rPr>
                <w:rFonts w:hint="default"/>
                <w:sz w:val="21"/>
                <w:szCs w:val="21"/>
                <w:lang w:val="en-US" w:eastAsia="zh-CN"/>
              </w:rPr>
            </w:pPr>
            <w:r>
              <w:rPr>
                <w:rFonts w:hint="eastAsia"/>
                <w:sz w:val="21"/>
                <w:szCs w:val="21"/>
                <w:lang w:val="en-US" w:eastAsia="zh-CN"/>
              </w:rPr>
              <w:t>目标值</w:t>
            </w:r>
          </w:p>
        </w:tc>
      </w:tr>
      <w:tr w14:paraId="08D9AAC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41" w:type="dxa"/>
          </w:tcPr>
          <w:p w14:paraId="1469C127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  <w:rPr>
                <w:rFonts w:hint="eastAsia" w:ascii="宋体" w:hAnsi="宋体" w:eastAsia="宋体" w:cs="宋体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  <w:vertAlign w:val="baseline"/>
                <w:lang w:val="en-US" w:eastAsia="zh-CN"/>
              </w:rPr>
              <w:t>1</w:t>
            </w:r>
          </w:p>
        </w:tc>
        <w:tc>
          <w:tcPr>
            <w:tcW w:w="1839" w:type="dxa"/>
          </w:tcPr>
          <w:p w14:paraId="39AF9B74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宋体" w:hAnsi="宋体" w:eastAsia="宋体" w:cs="宋体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ascii="宋体" w:hAnsi="宋体" w:cs="宋体"/>
                <w:sz w:val="21"/>
                <w:szCs w:val="21"/>
                <w:lang w:val="en-US" w:eastAsia="zh-CN"/>
              </w:rPr>
              <w:t>能力评价合格率</w:t>
            </w:r>
          </w:p>
        </w:tc>
        <w:tc>
          <w:tcPr>
            <w:tcW w:w="3637" w:type="dxa"/>
          </w:tcPr>
          <w:p w14:paraId="27DC0CE9">
            <w:pPr>
              <w:pStyle w:val="29"/>
              <w:widowControl w:val="0"/>
              <w:ind w:left="0" w:leftChars="0" w:firstLine="0" w:firstLineChars="0"/>
              <w:jc w:val="left"/>
              <w:rPr>
                <w:rFonts w:hint="eastAsia" w:ascii="宋体" w:hAnsi="宋体" w:eastAsia="宋体" w:cs="宋体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  <w:vertAlign w:val="baseline"/>
                <w:lang w:val="en-US" w:eastAsia="zh-CN"/>
              </w:rPr>
              <w:t>（</w:t>
            </w:r>
            <w:r>
              <w:rPr>
                <w:rFonts w:hint="eastAsia" w:ascii="宋体" w:hAnsi="宋体" w:cs="宋体"/>
                <w:sz w:val="21"/>
                <w:szCs w:val="21"/>
                <w:vertAlign w:val="baseline"/>
                <w:lang w:val="en-US" w:eastAsia="zh-CN"/>
              </w:rPr>
              <w:t>能力评价合格人数</w:t>
            </w:r>
            <w:r>
              <w:rPr>
                <w:rFonts w:hint="eastAsia" w:ascii="宋体" w:hAnsi="宋体" w:eastAsia="宋体" w:cs="宋体"/>
                <w:sz w:val="21"/>
                <w:szCs w:val="21"/>
                <w:vertAlign w:val="baseline"/>
                <w:lang w:val="en-US" w:eastAsia="zh-CN"/>
              </w:rPr>
              <w:t>/</w:t>
            </w:r>
            <w:r>
              <w:rPr>
                <w:rFonts w:hint="eastAsia" w:ascii="宋体" w:hAnsi="宋体" w:cs="宋体"/>
                <w:sz w:val="21"/>
                <w:szCs w:val="21"/>
                <w:vertAlign w:val="baseline"/>
                <w:lang w:val="en-US" w:eastAsia="zh-CN"/>
              </w:rPr>
              <w:t>能力评价总人数）</w:t>
            </w:r>
            <w:r>
              <w:rPr>
                <w:rFonts w:hint="eastAsia" w:ascii="宋体" w:hAnsi="宋体" w:eastAsia="宋体" w:cs="宋体"/>
                <w:sz w:val="21"/>
                <w:szCs w:val="21"/>
                <w:vertAlign w:val="baseline"/>
                <w:lang w:val="en-US" w:eastAsia="zh-CN"/>
              </w:rPr>
              <w:t>*100%</w:t>
            </w:r>
          </w:p>
        </w:tc>
        <w:tc>
          <w:tcPr>
            <w:tcW w:w="1107" w:type="dxa"/>
          </w:tcPr>
          <w:p w14:paraId="2348B843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  <w:rPr>
                <w:rFonts w:hint="eastAsia" w:ascii="宋体" w:hAnsi="宋体" w:eastAsia="宋体" w:cs="宋体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ascii="宋体" w:hAnsi="宋体" w:cs="宋体"/>
                <w:sz w:val="21"/>
                <w:szCs w:val="21"/>
                <w:vertAlign w:val="baseline"/>
                <w:lang w:val="en-US" w:eastAsia="zh-CN"/>
              </w:rPr>
              <w:t>季度</w:t>
            </w:r>
          </w:p>
        </w:tc>
        <w:tc>
          <w:tcPr>
            <w:tcW w:w="1094" w:type="dxa"/>
          </w:tcPr>
          <w:p w14:paraId="48CB3236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  <w:rPr>
                <w:rFonts w:hint="eastAsia" w:ascii="宋体" w:hAnsi="宋体" w:eastAsia="宋体" w:cs="宋体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  <w:vertAlign w:val="baseline"/>
                <w:lang w:val="en-US" w:eastAsia="zh-CN"/>
              </w:rPr>
              <w:t>≥95%</w:t>
            </w:r>
          </w:p>
        </w:tc>
      </w:tr>
    </w:tbl>
    <w:p w14:paraId="7E19652E">
      <w:pPr>
        <w:pStyle w:val="28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Style w:val="38"/>
          <w:rFonts w:hint="default" w:eastAsia="宋体"/>
          <w:lang w:val="en-US" w:eastAsia="zh-CN"/>
        </w:rPr>
      </w:pPr>
      <w:bookmarkStart w:id="20" w:name="bookmark3"/>
      <w:bookmarkEnd w:id="20"/>
      <w:bookmarkStart w:id="21" w:name="_Toc18227"/>
      <w:bookmarkStart w:id="22" w:name="_Toc17424"/>
      <w:r>
        <w:rPr>
          <w:rStyle w:val="38"/>
          <w:rFonts w:hint="eastAsia" w:eastAsia="宋体"/>
          <w:lang w:val="en-US" w:eastAsia="zh-CN"/>
        </w:rPr>
        <w:t>附则</w:t>
      </w:r>
      <w:bookmarkEnd w:id="21"/>
      <w:bookmarkEnd w:id="22"/>
    </w:p>
    <w:p w14:paraId="7AB498F0">
      <w:pPr>
        <w:keepNext w:val="0"/>
        <w:keepLines w:val="0"/>
        <w:pageBreakBefore w:val="0"/>
        <w:widowControl w:val="0"/>
        <w:numPr>
          <w:ilvl w:val="0"/>
          <w:numId w:val="7"/>
        </w:numPr>
        <w:kinsoku w:val="0"/>
        <w:wordWrap/>
        <w:overflowPunct/>
        <w:topLinePunct/>
        <w:autoSpaceDE w:val="0"/>
        <w:autoSpaceDN w:val="0"/>
        <w:bidi w:val="0"/>
        <w:adjustRightInd w:val="0"/>
        <w:snapToGrid w:val="0"/>
        <w:spacing w:line="360" w:lineRule="auto"/>
        <w:ind w:left="425" w:leftChars="0" w:hanging="425" w:firstLineChars="0"/>
        <w:textAlignment w:val="baseline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pacing w:val="-1"/>
          <w:sz w:val="24"/>
          <w:szCs w:val="24"/>
        </w:rPr>
        <w:t>本制度最终解释权和修订权归人力部。</w:t>
      </w:r>
      <w:r>
        <w:rPr>
          <w:rFonts w:hint="eastAsia" w:ascii="宋体" w:hAnsi="宋体" w:eastAsia="宋体" w:cs="宋体"/>
          <w:spacing w:val="-1"/>
          <w:sz w:val="24"/>
          <w:szCs w:val="24"/>
          <w:lang w:val="en-US" w:eastAsia="zh-CN"/>
        </w:rPr>
      </w:r>
      <w:r>
        <w:rPr>
          <w:rFonts w:ascii="宋体" w:hAnsi="宋体" w:eastAsia="宋体" w:cs="宋体"/>
          <w:spacing w:val="-1"/>
          <w:sz w:val="24"/>
          <w:szCs w:val="24"/>
        </w:rPr>
      </w:r>
    </w:p>
    <w:p w14:paraId="0B68DD1C">
      <w:pPr>
        <w:keepNext w:val="0"/>
        <w:keepLines w:val="0"/>
        <w:pageBreakBefore w:val="0"/>
        <w:widowControl w:val="0"/>
        <w:numPr>
          <w:ilvl w:val="0"/>
          <w:numId w:val="7"/>
        </w:numPr>
        <w:kinsoku w:val="0"/>
        <w:wordWrap/>
        <w:overflowPunct/>
        <w:topLinePunct/>
        <w:autoSpaceDE w:val="0"/>
        <w:autoSpaceDN w:val="0"/>
        <w:bidi w:val="0"/>
        <w:adjustRightInd w:val="0"/>
        <w:snapToGrid w:val="0"/>
        <w:spacing w:line="360" w:lineRule="auto"/>
        <w:ind w:left="425" w:leftChars="0" w:hanging="425" w:firstLineChars="0"/>
        <w:textAlignment w:val="baseline"/>
        <w:rPr>
          <w:rFonts w:hint="default"/>
          <w:lang w:val="en-US" w:eastAsia="zh-CN"/>
        </w:rPr>
      </w:pPr>
      <w:r>
        <w:rPr>
          <w:rFonts w:ascii="宋体" w:hAnsi="宋体" w:eastAsia="宋体" w:cs="宋体"/>
          <w:spacing w:val="-2"/>
          <w:sz w:val="24"/>
          <w:szCs w:val="24"/>
        </w:rPr>
        <w:t>本制度自颁布之日起施行。</w:t>
      </w:r>
    </w:p>
    <w:p w14:paraId="6E4EE83E">
      <w:pPr>
        <w:pStyle w:val="28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23" w:name="bookmark14"/>
      <w:bookmarkEnd w:id="23"/>
      <w:bookmarkStart w:id="24" w:name="_Toc14190"/>
      <w:r>
        <w:rPr>
          <w:rFonts w:hint="eastAsia"/>
          <w:lang w:val="en-US" w:eastAsia="zh-CN"/>
        </w:rPr>
        <w:t>附件</w:t>
      </w:r>
      <w:bookmarkEnd w:id="24"/>
    </w:p>
    <w:p w14:paraId="6FB7E82A">
      <w:pPr>
        <w:pStyle w:val="29"/>
        <w:numPr>
          <w:ilvl w:val="0"/>
          <w:numId w:val="8"/>
        </w:numPr>
        <w:ind w:left="425" w:leftChars="0" w:hanging="425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《管理序列</w:t>
      </w:r>
      <w:r>
        <w:rPr>
          <w:rFonts w:hint="eastAsia"/>
          <w:lang w:val="en-US" w:eastAsia="zh-CN"/>
        </w:rPr>
        <w:t>能力</w:t>
      </w:r>
      <w:r>
        <w:rPr>
          <w:rFonts w:hint="default"/>
          <w:lang w:val="en-US" w:eastAsia="zh-CN"/>
        </w:rPr>
        <w:t>等级与能力标准对照表》</w:t>
      </w:r>
    </w:p>
    <w:p w14:paraId="1ECCB477">
      <w:pPr>
        <w:pStyle w:val="29"/>
        <w:numPr>
          <w:ilvl w:val="0"/>
          <w:numId w:val="8"/>
        </w:numPr>
        <w:ind w:left="425" w:leftChars="0" w:hanging="425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《技术序列</w:t>
      </w:r>
      <w:r>
        <w:rPr>
          <w:rFonts w:hint="eastAsia"/>
          <w:lang w:val="en-US" w:eastAsia="zh-CN"/>
        </w:rPr>
        <w:t>能力</w:t>
      </w:r>
      <w:r>
        <w:rPr>
          <w:rFonts w:hint="default"/>
          <w:lang w:val="en-US" w:eastAsia="zh-CN"/>
        </w:rPr>
        <w:t>等级与能力标准对照表》</w:t>
      </w:r>
    </w:p>
    <w:p w14:paraId="4AE63EA2">
      <w:pPr>
        <w:pStyle w:val="28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bookmarkStart w:id="25" w:name="_Toc18280"/>
      <w:r>
        <w:rPr>
          <w:rFonts w:hint="eastAsia"/>
          <w:lang w:val="en-US" w:eastAsia="zh-CN"/>
        </w:rPr>
        <w:t>记录</w:t>
      </w:r>
      <w:bookmarkEnd w:id="25"/>
    </w:p>
    <w:p w14:paraId="7AFEC2DF">
      <w:pPr>
        <w:pStyle w:val="29"/>
        <w:keepNext w:val="0"/>
        <w:keepLines w:val="0"/>
        <w:pageBreakBefore w:val="0"/>
        <w:widowControl w:val="0"/>
        <w:numPr>
          <w:ilvl w:val="0"/>
          <w:numId w:val="9"/>
        </w:numPr>
        <w:kinsoku w:val="0"/>
        <w:wordWrap/>
        <w:overflowPunct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《员工能力评价申报表》</w:t>
      </w:r>
    </w:p>
    <w:p w14:paraId="0880D938">
      <w:pPr>
        <w:pStyle w:val="29"/>
        <w:keepNext w:val="0"/>
        <w:keepLines w:val="0"/>
        <w:pageBreakBefore w:val="0"/>
        <w:widowControl w:val="0"/>
        <w:numPr>
          <w:ilvl w:val="0"/>
          <w:numId w:val="9"/>
        </w:numPr>
        <w:kinsoku w:val="0"/>
        <w:wordWrap/>
        <w:overflowPunct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《能力评价综合评审记录》</w:t>
      </w:r>
    </w:p>
    <w:sectPr>
      <w:headerReference r:id="rId5" w:type="default"/>
      <w:footerReference r:id="rId6" w:type="default"/>
      <w:headerReference w:type="first" r:id="rId12"/>
      <w:footerReference w:type="first" r:id="rId13"/>
      <w:headerReference w:type="even" r:id="rId14"/>
      <w:footerReference w:type="even" r:id="rId15"/>
      <w:pgSz w:w="11906" w:h="16838"/>
      <w:pgMar w:top="1417" w:right="1800" w:bottom="1440" w:left="1800" w:header="1140" w:footer="992" w:gutter="0"/>
      <w:cols w:space="425" w:num="1"/>
      <w:docGrid w:type="lines" w:linePitch="312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icrosoft JhengHei">
    <w:panose1 w:val="020B0604030504040204"/>
    <w:charset w:val="88"/>
    <w:family w:val="auto"/>
    <w:pitch w:val="default"/>
    <w:sig w:usb0="000002A7" w:usb1="28CF4400" w:usb2="00000016" w:usb3="00000000" w:csb0="00100009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14636E9">
    <w:pPr>
      <w:pStyle w:val="14"/>
    </w:pP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360" w:lineRule="auto"/>
      </w:pPr>
      <w:r>
        <w:separator/>
      </w:r>
    </w:p>
  </w:footnote>
  <w:footnote w:type="continuationSeparator" w:id="1">
    <w:p>
      <w:pPr>
        <w:spacing w:line="36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82870F4">
    <w:pPr>
      <w:pStyle w:val="15"/>
      <w:pBdr>
        <w:bottom w:val="single" w:color="auto" w:sz="4" w:space="1"/>
      </w:pBdr>
      <w:tabs>
        <w:tab w:val="left" w:pos="335"/>
        <w:tab w:val="right" w:pos="8426"/>
      </w:tabs>
      <w:jc w:val="right"/>
      <w:rPr>
        <w:rFonts w:hint="eastAsia" w:eastAsiaTheme="minorEastAsia"/>
        <w:lang w:eastAsia="zh-CN"/>
      </w:rPr>
    </w:pPr>
    <w:r>
      <w:rPr>
        <w:rFonts w:hint="eastAsia" w:eastAsiaTheme="minorEastAsia"/>
        <w:lang w:val="en-US" w:eastAsia="zh-CN"/>
      </w:rPr>
      <w:tab/>
      <w:tab/>
      <w:t>重庆市鹧鸪哨信息技术有限责任公司</w:t>
    </w:r>
    <w:r>
      <w:rPr>
        <w:rFonts w:hint="eastAsia" w:eastAsiaTheme="minorEastAsia"/>
        <w:lang w:val="en-US" w:eastAsia="zh-CN"/>
      </w:rPr>
    </w:r>
    <w:r>
      <w:rPr>
        <w:rFonts w:hint="eastAsia" w:eastAsiaTheme="minorEastAsia"/>
        <w:lang w:val="en-US" w:eastAsia="zh-CN"/>
      </w:rPr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E1BAE05"/>
    <w:multiLevelType w:val="singleLevel"/>
    <w:tmpl w:val="8E1BAE05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1">
    <w:nsid w:val="8E964DCE"/>
    <w:multiLevelType w:val="multilevel"/>
    <w:tmpl w:val="8E964DCE"/>
    <w:lvl w:ilvl="0" w:tentative="0">
      <w:start w:val="1"/>
      <w:numFmt w:val="decimal"/>
      <w:pStyle w:val="2"/>
      <w:lvlText w:val="%1."/>
      <w:lvlJc w:val="left"/>
      <w:pPr>
        <w:ind w:left="432" w:hanging="432"/>
      </w:pPr>
      <w:rPr>
        <w:rFonts w:hint="default"/>
      </w:rPr>
    </w:lvl>
    <w:lvl w:ilvl="1" w:tentative="0">
      <w:start w:val="1"/>
      <w:numFmt w:val="decimal"/>
      <w:pStyle w:val="3"/>
      <w:lvlText w:val="%1.%2."/>
      <w:lvlJc w:val="left"/>
      <w:pPr>
        <w:ind w:left="575" w:hanging="575"/>
      </w:pPr>
      <w:rPr>
        <w:rFonts w:hint="default"/>
      </w:rPr>
    </w:lvl>
    <w:lvl w:ilvl="2" w:tentative="0">
      <w:start w:val="1"/>
      <w:numFmt w:val="decimal"/>
      <w:pStyle w:val="4"/>
      <w:lvlText w:val="%1.%2.%3."/>
      <w:lvlJc w:val="left"/>
      <w:pPr>
        <w:ind w:left="720" w:hanging="720"/>
      </w:pPr>
      <w:rPr>
        <w:rFonts w:hint="default"/>
      </w:rPr>
    </w:lvl>
    <w:lvl w:ilvl="3" w:tentative="0">
      <w:start w:val="1"/>
      <w:numFmt w:val="decimal"/>
      <w:pStyle w:val="5"/>
      <w:lvlText w:val="%1.%2.%3.%4."/>
      <w:lvlJc w:val="left"/>
      <w:pPr>
        <w:ind w:left="864" w:hanging="864"/>
      </w:pPr>
      <w:rPr>
        <w:rFonts w:hint="default"/>
      </w:rPr>
    </w:lvl>
    <w:lvl w:ilvl="4" w:tentative="0">
      <w:start w:val="1"/>
      <w:numFmt w:val="decimal"/>
      <w:pStyle w:val="6"/>
      <w:lvlText w:val="%1.%2.%3.%4.%5."/>
      <w:lvlJc w:val="left"/>
      <w:pPr>
        <w:ind w:left="1008" w:hanging="1008"/>
      </w:pPr>
      <w:rPr>
        <w:rFonts w:hint="default"/>
      </w:rPr>
    </w:lvl>
    <w:lvl w:ilvl="5" w:tentative="0">
      <w:start w:val="1"/>
      <w:numFmt w:val="decimal"/>
      <w:pStyle w:val="7"/>
      <w:lvlText w:val="%1.%2.%3.%4.%5.%6."/>
      <w:lvlJc w:val="left"/>
      <w:pPr>
        <w:ind w:left="1151" w:hanging="1151"/>
      </w:pPr>
      <w:rPr>
        <w:rFonts w:hint="default"/>
      </w:rPr>
    </w:lvl>
    <w:lvl w:ilvl="6" w:tentative="0">
      <w:start w:val="1"/>
      <w:numFmt w:val="decimal"/>
      <w:pStyle w:val="8"/>
      <w:lvlText w:val="%1.%2.%3.%4.%5.%6.%7."/>
      <w:lvlJc w:val="left"/>
      <w:pPr>
        <w:ind w:left="1296" w:hanging="1296"/>
      </w:pPr>
      <w:rPr>
        <w:rFonts w:hint="default"/>
      </w:rPr>
    </w:lvl>
    <w:lvl w:ilvl="7" w:tentative="0">
      <w:start w:val="1"/>
      <w:numFmt w:val="decimal"/>
      <w:pStyle w:val="9"/>
      <w:lvlText w:val="%1.%2.%3.%4.%5.%6.%7.%8."/>
      <w:lvlJc w:val="left"/>
      <w:pPr>
        <w:ind w:left="1440" w:hanging="1440"/>
      </w:pPr>
      <w:rPr>
        <w:rFonts w:hint="default"/>
      </w:rPr>
    </w:lvl>
    <w:lvl w:ilvl="8" w:tentative="0">
      <w:start w:val="1"/>
      <w:numFmt w:val="decimal"/>
      <w:pStyle w:val="10"/>
      <w:lvlText w:val="%1.%2.%3.%4.%5.%6.%7.%8.%9."/>
      <w:lvlJc w:val="left"/>
      <w:pPr>
        <w:ind w:left="1583" w:hanging="1583"/>
      </w:pPr>
      <w:rPr>
        <w:rFonts w:hint="default"/>
      </w:rPr>
    </w:lvl>
  </w:abstractNum>
  <w:abstractNum w:abstractNumId="2">
    <w:nsid w:val="BCB4CB2F"/>
    <w:multiLevelType w:val="singleLevel"/>
    <w:tmpl w:val="BCB4CB2F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3">
    <w:nsid w:val="F9539CF3"/>
    <w:multiLevelType w:val="singleLevel"/>
    <w:tmpl w:val="F9539CF3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4">
    <w:nsid w:val="13E48769"/>
    <w:multiLevelType w:val="singleLevel"/>
    <w:tmpl w:val="13E48769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5">
    <w:nsid w:val="1791D882"/>
    <w:multiLevelType w:val="singleLevel"/>
    <w:tmpl w:val="1791D882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6">
    <w:nsid w:val="616DE7C0"/>
    <w:multiLevelType w:val="singleLevel"/>
    <w:tmpl w:val="616DE7C0"/>
    <w:lvl w:ilvl="0" w:tentative="0">
      <w:start w:val="1"/>
      <w:numFmt w:val="decimal"/>
      <w:lvlText w:val="(%1)"/>
      <w:lvlJc w:val="left"/>
      <w:pPr>
        <w:ind w:left="425" w:hanging="425"/>
      </w:pPr>
      <w:rPr>
        <w:rFonts w:hint="default"/>
      </w:rPr>
    </w:lvl>
  </w:abstractNum>
  <w:abstractNum w:abstractNumId="7">
    <w:nsid w:val="6A8579A5"/>
    <w:multiLevelType w:val="singleLevel"/>
    <w:tmpl w:val="6A8579A5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8">
    <w:nsid w:val="704288BC"/>
    <w:multiLevelType w:val="singleLevel"/>
    <w:tmpl w:val="704288BC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num w:numId="1">
    <w:abstractNumId w:val="1"/>
  </w:num>
  <w:num w:numId="2">
    <w:abstractNumId w:val="0"/>
  </w:num>
  <w:num w:numId="3">
    <w:abstractNumId w:val="5"/>
  </w:num>
  <w:num w:numId="4">
    <w:abstractNumId w:val="2"/>
  </w:num>
  <w:num w:numId="5">
    <w:abstractNumId w:val="6"/>
  </w:num>
  <w:num w:numId="6">
    <w:abstractNumId w:val="4"/>
  </w:num>
  <w:num w:numId="7">
    <w:abstractNumId w:val="3"/>
  </w:num>
  <w:num w:numId="8">
    <w:abstractNumId w:val="8"/>
  </w:num>
  <w:num w:numId="9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0"/>
  <w:embedSystemFonts/>
  <w:doNotTrackMoves/>
  <w:documentProtection w:enforcement="0"/>
  <w:defaultTabStop w:val="420"/>
  <w:drawingGridVerticalSpacing w:val="156"/>
  <w:noPunctuationKerning w:val="1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00000"/>
    <w:rsid w:val="3D970A2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/>
    <o:shapelayout v:ext="edit">
      <o:idmap v:ext="edit" data="1"/>
    </o:shapelayout>
  </w:shapeDefaults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name="heading 3"/>
    <w:lsdException w:qFormat="1" w:uiPriority="0" w:semiHidden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0" w:semiHidden="0" w:name="toc 1"/>
    <w:lsdException w:qFormat="1" w:unhideWhenUsed="0" w:uiPriority="0" w:semiHidden="0" w:name="toc 2"/>
    <w:lsdException w:qFormat="1"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qFormat="1" w:unhideWhenUsed="0" w:uiPriority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iPriority="99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kinsoku w:val="0"/>
      <w:autoSpaceDE w:val="0"/>
      <w:autoSpaceDN w:val="0"/>
      <w:adjustRightInd w:val="0"/>
      <w:snapToGrid w:val="0"/>
      <w:spacing w:line="360" w:lineRule="auto"/>
      <w:jc w:val="left"/>
      <w:textAlignment w:val="baseline"/>
    </w:pPr>
    <w:rPr>
      <w:rFonts w:ascii="Arial" w:hAnsi="Arial" w:eastAsia="宋体" w:cs="Arial"/>
      <w:snapToGrid w:val="0"/>
      <w:color w:val="000000"/>
      <w:kern w:val="0"/>
      <w:sz w:val="21"/>
      <w:szCs w:val="21"/>
      <w:lang w:val="en-US" w:eastAsia="en-US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numPr>
        <w:ilvl w:val="0"/>
        <w:numId w:val="1"/>
      </w:numPr>
      <w:spacing w:before="340" w:beforeLines="0" w:beforeAutospacing="0" w:after="330" w:afterLines="0" w:afterAutospacing="0" w:line="576" w:lineRule="auto"/>
      <w:ind w:left="432" w:hanging="432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numPr>
        <w:ilvl w:val="1"/>
        <w:numId w:val="1"/>
      </w:numPr>
      <w:spacing w:before="260" w:beforeLines="0" w:beforeAutospacing="0" w:after="260" w:afterLines="0" w:afterAutospacing="0" w:line="413" w:lineRule="auto"/>
      <w:ind w:left="575" w:hanging="575"/>
      <w:outlineLvl w:val="1"/>
    </w:pPr>
    <w:rPr>
      <w:rFonts w:ascii="Arial" w:hAnsi="Arial" w:eastAsia="黑体"/>
      <w:b/>
      <w:sz w:val="32"/>
    </w:rPr>
  </w:style>
  <w:style w:type="paragraph" w:styleId="4">
    <w:name w:val="heading 3"/>
    <w:basedOn w:val="1"/>
    <w:next w:val="1"/>
    <w:semiHidden/>
    <w:unhideWhenUsed/>
    <w:qFormat/>
    <w:uiPriority w:val="0"/>
    <w:pPr>
      <w:keepNext/>
      <w:keepLines/>
      <w:numPr>
        <w:ilvl w:val="2"/>
        <w:numId w:val="1"/>
      </w:numPr>
      <w:spacing w:before="260" w:beforeLines="0" w:beforeAutospacing="0" w:after="260" w:afterLines="0" w:afterAutospacing="0" w:line="413" w:lineRule="auto"/>
      <w:ind w:left="720" w:hanging="720"/>
      <w:outlineLvl w:val="2"/>
    </w:pPr>
    <w:rPr>
      <w:b/>
      <w:sz w:val="32"/>
    </w:rPr>
  </w:style>
  <w:style w:type="paragraph" w:styleId="5">
    <w:name w:val="heading 4"/>
    <w:basedOn w:val="1"/>
    <w:next w:val="1"/>
    <w:unhideWhenUsed/>
    <w:qFormat/>
    <w:uiPriority w:val="0"/>
    <w:pPr>
      <w:keepNext/>
      <w:keepLines/>
      <w:numPr>
        <w:ilvl w:val="3"/>
        <w:numId w:val="1"/>
      </w:numPr>
      <w:spacing w:before="280" w:beforeLines="0" w:beforeAutospacing="0" w:after="290" w:afterLines="0" w:afterAutospacing="0" w:line="372" w:lineRule="auto"/>
      <w:ind w:left="864" w:hanging="864"/>
      <w:outlineLvl w:val="3"/>
    </w:pPr>
    <w:rPr>
      <w:rFonts w:ascii="Arial" w:hAnsi="Arial" w:eastAsia="黑体"/>
      <w:b/>
      <w:sz w:val="28"/>
    </w:rPr>
  </w:style>
  <w:style w:type="paragraph" w:styleId="6">
    <w:name w:val="heading 5"/>
    <w:basedOn w:val="1"/>
    <w:next w:val="1"/>
    <w:semiHidden/>
    <w:unhideWhenUsed/>
    <w:qFormat/>
    <w:uiPriority w:val="0"/>
    <w:pPr>
      <w:keepNext/>
      <w:keepLines/>
      <w:numPr>
        <w:ilvl w:val="4"/>
        <w:numId w:val="1"/>
      </w:numPr>
      <w:spacing w:before="280" w:beforeLines="0" w:beforeAutospacing="0" w:after="290" w:afterLines="0" w:afterAutospacing="0" w:line="372" w:lineRule="auto"/>
      <w:ind w:left="1008" w:hanging="1008"/>
      <w:outlineLvl w:val="4"/>
    </w:pPr>
    <w:rPr>
      <w:b/>
      <w:sz w:val="28"/>
    </w:rPr>
  </w:style>
  <w:style w:type="paragraph" w:styleId="7">
    <w:name w:val="heading 6"/>
    <w:basedOn w:val="1"/>
    <w:next w:val="1"/>
    <w:semiHidden/>
    <w:unhideWhenUsed/>
    <w:qFormat/>
    <w:uiPriority w:val="0"/>
    <w:pPr>
      <w:keepNext/>
      <w:keepLines/>
      <w:numPr>
        <w:ilvl w:val="5"/>
        <w:numId w:val="1"/>
      </w:numPr>
      <w:spacing w:before="240" w:beforeLines="0" w:beforeAutospacing="0" w:after="64" w:afterLines="0" w:afterAutospacing="0" w:line="317" w:lineRule="auto"/>
      <w:ind w:left="1151" w:hanging="1151"/>
      <w:outlineLvl w:val="5"/>
    </w:pPr>
    <w:rPr>
      <w:rFonts w:ascii="Arial" w:hAnsi="Arial" w:eastAsia="黑体"/>
      <w:b/>
      <w:sz w:val="24"/>
    </w:rPr>
  </w:style>
  <w:style w:type="paragraph" w:styleId="8">
    <w:name w:val="heading 7"/>
    <w:basedOn w:val="1"/>
    <w:next w:val="1"/>
    <w:semiHidden/>
    <w:unhideWhenUsed/>
    <w:qFormat/>
    <w:uiPriority w:val="0"/>
    <w:pPr>
      <w:keepNext/>
      <w:keepLines/>
      <w:numPr>
        <w:ilvl w:val="6"/>
        <w:numId w:val="1"/>
      </w:numPr>
      <w:spacing w:before="240" w:beforeLines="0" w:beforeAutospacing="0" w:after="64" w:afterLines="0" w:afterAutospacing="0" w:line="317" w:lineRule="auto"/>
      <w:ind w:left="1296" w:hanging="1296"/>
      <w:outlineLvl w:val="6"/>
    </w:pPr>
    <w:rPr>
      <w:b/>
      <w:sz w:val="24"/>
    </w:rPr>
  </w:style>
  <w:style w:type="paragraph" w:styleId="9">
    <w:name w:val="heading 8"/>
    <w:basedOn w:val="1"/>
    <w:next w:val="1"/>
    <w:semiHidden/>
    <w:unhideWhenUsed/>
    <w:qFormat/>
    <w:uiPriority w:val="0"/>
    <w:pPr>
      <w:keepNext/>
      <w:keepLines/>
      <w:numPr>
        <w:ilvl w:val="7"/>
        <w:numId w:val="1"/>
      </w:numPr>
      <w:spacing w:before="240" w:beforeLines="0" w:beforeAutospacing="0" w:after="64" w:afterLines="0" w:afterAutospacing="0" w:line="317" w:lineRule="auto"/>
      <w:ind w:left="1440" w:hanging="1440"/>
      <w:outlineLvl w:val="7"/>
    </w:pPr>
    <w:rPr>
      <w:rFonts w:ascii="Arial" w:hAnsi="Arial" w:eastAsia="黑体"/>
      <w:sz w:val="24"/>
    </w:rPr>
  </w:style>
  <w:style w:type="paragraph" w:styleId="10">
    <w:name w:val="heading 9"/>
    <w:basedOn w:val="1"/>
    <w:next w:val="1"/>
    <w:semiHidden/>
    <w:unhideWhenUsed/>
    <w:qFormat/>
    <w:uiPriority w:val="0"/>
    <w:pPr>
      <w:keepNext/>
      <w:keepLines/>
      <w:numPr>
        <w:ilvl w:val="8"/>
        <w:numId w:val="1"/>
      </w:numPr>
      <w:spacing w:before="240" w:beforeLines="0" w:beforeAutospacing="0" w:after="64" w:afterLines="0" w:afterAutospacing="0" w:line="317" w:lineRule="auto"/>
      <w:ind w:left="1583" w:hanging="1583"/>
      <w:outlineLvl w:val="8"/>
    </w:pPr>
    <w:rPr>
      <w:rFonts w:ascii="Arial" w:hAnsi="Arial" w:eastAsia="黑体"/>
      <w:sz w:val="21"/>
    </w:rPr>
  </w:style>
  <w:style w:type="character" w:default="1" w:styleId="22">
    <w:name w:val="Default Paragraph Font"/>
    <w:semiHidden/>
    <w:qFormat/>
    <w:uiPriority w:val="0"/>
  </w:style>
  <w:style w:type="table" w:default="1" w:styleId="20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annotation text"/>
    <w:basedOn w:val="1"/>
    <w:qFormat/>
    <w:uiPriority w:val="0"/>
    <w:pPr>
      <w:jc w:val="left"/>
    </w:pPr>
  </w:style>
  <w:style w:type="paragraph" w:styleId="12">
    <w:name w:val="Body Text"/>
    <w:basedOn w:val="1"/>
    <w:semiHidden/>
    <w:qFormat/>
    <w:uiPriority w:val="0"/>
    <w:rPr>
      <w:rFonts w:ascii="Arial" w:hAnsi="Arial" w:eastAsia="Arial" w:cs="Arial"/>
      <w:sz w:val="21"/>
      <w:szCs w:val="21"/>
      <w:lang w:val="en-US" w:eastAsia="en-US" w:bidi="ar-SA"/>
    </w:rPr>
  </w:style>
  <w:style w:type="paragraph" w:styleId="13">
    <w:name w:val="toc 3"/>
    <w:basedOn w:val="1"/>
    <w:next w:val="1"/>
    <w:qFormat/>
    <w:uiPriority w:val="0"/>
    <w:pPr>
      <w:ind w:left="840" w:leftChars="400"/>
    </w:pPr>
  </w:style>
  <w:style w:type="paragraph" w:styleId="14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15">
    <w:name w:val="header"/>
    <w:basedOn w:val="1"/>
    <w:qFormat/>
    <w:uiPriority w:val="0"/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16">
    <w:name w:val="toc 1"/>
    <w:basedOn w:val="1"/>
    <w:next w:val="1"/>
    <w:qFormat/>
    <w:uiPriority w:val="0"/>
    <w:rPr>
      <w:rFonts w:ascii="Arial" w:hAnsi="Arial" w:eastAsia="Microsoft JhengHei"/>
      <w:sz w:val="24"/>
    </w:rPr>
  </w:style>
  <w:style w:type="paragraph" w:styleId="17">
    <w:name w:val="toc 2"/>
    <w:basedOn w:val="1"/>
    <w:next w:val="1"/>
    <w:qFormat/>
    <w:uiPriority w:val="0"/>
    <w:pPr>
      <w:ind w:left="420" w:leftChars="200"/>
    </w:pPr>
  </w:style>
  <w:style w:type="paragraph" w:styleId="18">
    <w:name w:val="Normal (Web)"/>
    <w:basedOn w:val="1"/>
    <w:qFormat/>
    <w:uiPriority w:val="0"/>
    <w:rPr>
      <w:sz w:val="24"/>
    </w:rPr>
  </w:style>
  <w:style w:type="paragraph" w:styleId="19">
    <w:name w:val="Title"/>
    <w:basedOn w:val="1"/>
    <w:qFormat/>
    <w:uiPriority w:val="0"/>
    <w:pPr>
      <w:spacing w:before="240" w:beforeLines="0" w:beforeAutospacing="0" w:after="60" w:afterLines="0" w:afterAutospacing="0"/>
      <w:jc w:val="center"/>
      <w:outlineLvl w:val="0"/>
    </w:pPr>
    <w:rPr>
      <w:rFonts w:ascii="Arial" w:hAnsi="Arial"/>
      <w:b/>
      <w:sz w:val="32"/>
    </w:rPr>
  </w:style>
  <w:style w:type="table" w:styleId="21">
    <w:name w:val="Table Grid"/>
    <w:basedOn w:val="20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23">
    <w:name w:val="Strong"/>
    <w:basedOn w:val="22"/>
    <w:qFormat/>
    <w:uiPriority w:val="0"/>
    <w:rPr>
      <w:b/>
    </w:rPr>
  </w:style>
  <w:style w:type="paragraph" w:customStyle="1" w:styleId="24">
    <w:name w:val="柴_公司名"/>
    <w:basedOn w:val="19"/>
    <w:qFormat/>
    <w:uiPriority w:val="0"/>
    <w:pPr>
      <w:spacing w:after="600" w:afterLines="600"/>
    </w:pPr>
    <w:rPr>
      <w:rFonts w:hint="eastAsia" w:ascii="宋体" w:hAnsi="宋体" w:eastAsia="宋体" w:cs="宋体"/>
      <w:bCs/>
      <w:spacing w:val="-6"/>
      <w:sz w:val="52"/>
      <w:szCs w:val="52"/>
    </w:rPr>
  </w:style>
  <w:style w:type="paragraph" w:customStyle="1" w:styleId="25">
    <w:name w:val="柴_文档名"/>
    <w:basedOn w:val="19"/>
    <w:qFormat/>
    <w:uiPriority w:val="0"/>
    <w:pPr>
      <w:spacing w:after="900" w:afterLines="900"/>
    </w:pPr>
    <w:rPr>
      <w:rFonts w:ascii="黑体" w:hAnsi="黑体" w:eastAsia="黑体" w:cs="黑体"/>
      <w:bCs/>
      <w:spacing w:val="-7"/>
      <w:sz w:val="52"/>
      <w:szCs w:val="52"/>
    </w:rPr>
  </w:style>
  <w:style w:type="table" w:customStyle="1" w:styleId="26">
    <w:name w:val="Table Normal_0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27">
    <w:name w:val="Table Text"/>
    <w:basedOn w:val="1"/>
    <w:semiHidden/>
    <w:qFormat/>
    <w:uiPriority w:val="0"/>
    <w:rPr>
      <w:rFonts w:ascii="宋体" w:hAnsi="宋体" w:eastAsia="宋体" w:cs="宋体"/>
      <w:sz w:val="21"/>
      <w:szCs w:val="21"/>
      <w:lang w:val="en-US" w:eastAsia="en-US" w:bidi="ar-SA"/>
    </w:rPr>
  </w:style>
  <w:style w:type="paragraph" w:customStyle="1" w:styleId="28">
    <w:name w:val="柴_标题1"/>
    <w:basedOn w:val="2"/>
    <w:next w:val="29"/>
    <w:link w:val="38"/>
    <w:qFormat/>
    <w:uiPriority w:val="0"/>
    <w:pPr>
      <w:spacing w:before="100" w:after="90" w:line="360" w:lineRule="auto"/>
    </w:pPr>
    <w:rPr>
      <w:rFonts w:ascii="Arial" w:hAnsi="Arial" w:eastAsia="宋体"/>
      <w:sz w:val="32"/>
    </w:rPr>
  </w:style>
  <w:style w:type="paragraph" w:customStyle="1" w:styleId="29">
    <w:name w:val="柴_正文"/>
    <w:basedOn w:val="12"/>
    <w:link w:val="42"/>
    <w:qFormat/>
    <w:uiPriority w:val="0"/>
    <w:pPr>
      <w:spacing w:line="360" w:lineRule="auto"/>
      <w:ind w:firstLine="470" w:firstLineChars="200"/>
    </w:pPr>
    <w:rPr>
      <w:rFonts w:ascii="Arial" w:hAnsi="Arial" w:eastAsia="宋体"/>
      <w:sz w:val="24"/>
      <w:lang w:eastAsia="zh-CN"/>
    </w:rPr>
  </w:style>
  <w:style w:type="paragraph" w:customStyle="1" w:styleId="30">
    <w:name w:val="柴_标题2"/>
    <w:basedOn w:val="3"/>
    <w:next w:val="29"/>
    <w:qFormat/>
    <w:uiPriority w:val="0"/>
    <w:pPr>
      <w:spacing w:line="360" w:lineRule="auto"/>
    </w:pPr>
    <w:rPr>
      <w:rFonts w:ascii="Arial" w:hAnsi="Arial" w:eastAsia="宋体"/>
      <w:sz w:val="28"/>
    </w:rPr>
  </w:style>
  <w:style w:type="paragraph" w:customStyle="1" w:styleId="31">
    <w:name w:val="柴_标题3"/>
    <w:basedOn w:val="4"/>
    <w:next w:val="29"/>
    <w:qFormat/>
    <w:uiPriority w:val="0"/>
    <w:pPr>
      <w:spacing w:line="360" w:lineRule="auto"/>
      <w:ind w:left="0" w:firstLine="472" w:firstLineChars="200"/>
    </w:pPr>
    <w:rPr>
      <w:rFonts w:ascii="宋体" w:hAnsi="宋体" w:eastAsia="宋体" w:cs="宋体"/>
      <w:spacing w:val="-2"/>
      <w:sz w:val="24"/>
      <w:szCs w:val="24"/>
    </w:rPr>
  </w:style>
  <w:style w:type="paragraph" w:customStyle="1" w:styleId="32">
    <w:name w:val="柴_目录"/>
    <w:basedOn w:val="1"/>
    <w:next w:val="12"/>
    <w:qFormat/>
    <w:uiPriority w:val="0"/>
    <w:pPr>
      <w:tabs>
        <w:tab w:val="right" w:leader="dot" w:pos="8442"/>
      </w:tabs>
      <w:ind w:left="0" w:leftChars="0"/>
    </w:pPr>
    <w:rPr>
      <w:rFonts w:ascii="Arial" w:hAnsi="Arial" w:eastAsia="Microsoft JhengHei"/>
      <w:sz w:val="24"/>
    </w:rPr>
  </w:style>
  <w:style w:type="paragraph" w:customStyle="1" w:styleId="33">
    <w:name w:val="WPSOffice手动目录 1"/>
    <w:qFormat/>
    <w:uiPriority w:val="0"/>
    <w:pPr>
      <w:ind w:leftChars="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4">
    <w:name w:val="WPSOffice手动目录 2"/>
    <w:qFormat/>
    <w:uiPriority w:val="0"/>
    <w:pPr>
      <w:ind w:leftChars="2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5">
    <w:name w:val="WPSOffice手动目录 3"/>
    <w:qFormat/>
    <w:uiPriority w:val="0"/>
    <w:pPr>
      <w:ind w:leftChars="4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6">
    <w:name w:val="Compact"/>
    <w:basedOn w:val="12"/>
    <w:qFormat/>
    <w:uiPriority w:val="0"/>
    <w:pPr>
      <w:spacing w:before="36" w:after="36"/>
    </w:pPr>
  </w:style>
  <w:style w:type="table" w:customStyle="1" w:styleId="37">
    <w:name w:val="Table"/>
    <w:semiHidden/>
    <w:unhideWhenUsed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color="auto" w:sz="0" w:space="0"/>
        </w:tcBorders>
        <w:vAlign w:val="bottom"/>
      </w:tcPr>
    </w:tblStylePr>
  </w:style>
  <w:style w:type="character" w:customStyle="1" w:styleId="38">
    <w:name w:val="柴_标题1 Char"/>
    <w:link w:val="28"/>
    <w:qFormat/>
    <w:uiPriority w:val="0"/>
    <w:rPr>
      <w:rFonts w:ascii="Arial" w:hAnsi="Arial" w:eastAsia="宋体"/>
      <w:sz w:val="32"/>
    </w:rPr>
  </w:style>
  <w:style w:type="table" w:customStyle="1" w:styleId="39">
    <w:name w:val="Table Normal_1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40">
    <w:name w:val="柴_正文_无缩进"/>
    <w:basedOn w:val="1"/>
    <w:qFormat/>
    <w:uiPriority w:val="0"/>
    <w:pPr>
      <w:ind w:firstLine="0" w:firstLineChars="0"/>
    </w:pPr>
    <w:rPr>
      <w:rFonts w:ascii="Arial" w:hAnsi="Arial"/>
      <w:sz w:val="24"/>
      <w:lang w:eastAsia="zh-CN"/>
    </w:rPr>
  </w:style>
  <w:style w:type="paragraph" w:customStyle="1" w:styleId="41">
    <w:name w:val="柴_标题4"/>
    <w:basedOn w:val="5"/>
    <w:next w:val="1"/>
    <w:qFormat/>
    <w:uiPriority w:val="0"/>
    <w:pPr>
      <w:widowControl w:val="0"/>
      <w:spacing w:before="160" w:line="360" w:lineRule="auto"/>
      <w:ind w:left="981" w:leftChars="300" w:hanging="862"/>
    </w:pPr>
    <w:rPr>
      <w:rFonts w:hint="eastAsia" w:ascii="Calibri" w:hAnsi="Calibri" w:eastAsia="宋体" w:cs="宋体"/>
      <w:sz w:val="24"/>
      <w:szCs w:val="24"/>
      <w:lang w:eastAsia="zh-CN" w:bidi="zh-CN"/>
    </w:rPr>
  </w:style>
  <w:style w:type="character" w:customStyle="1" w:styleId="42">
    <w:name w:val="柴_正文 Char"/>
    <w:link w:val="29"/>
    <w:qFormat/>
    <w:uiPriority w:val="0"/>
    <w:rPr>
      <w:rFonts w:ascii="Arial" w:hAnsi="Arial" w:eastAsia="宋体"/>
      <w:sz w:val="24"/>
      <w:lang w:eastAsia="zh-CN"/>
    </w:rPr>
  </w:style>
</w:styles>
</file>

<file path=word/_rels/document.xml.rels><?xml version='1.0' encoding='UTF-8' standalone='yes'?>
<Relationships xmlns="http://schemas.openxmlformats.org/package/2006/relationships"><Relationship Id="rId9" Type="http://schemas.openxmlformats.org/officeDocument/2006/relationships/image" Target="media/image2.png"/><Relationship Id="rId8" Type="http://schemas.openxmlformats.org/officeDocument/2006/relationships/image" Target="media/image1.png"/><Relationship Id="rId7" Type="http://schemas.openxmlformats.org/officeDocument/2006/relationships/theme" Target="theme/theme1.xml"/><Relationship Id="rId6" Type="http://schemas.openxmlformats.org/officeDocument/2006/relationships/footer" Target="footer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1" Type="http://schemas.openxmlformats.org/officeDocument/2006/relationships/fontTable" Target="fontTable.xml"/><Relationship Id="rId10" Type="http://schemas.openxmlformats.org/officeDocument/2006/relationships/numbering" Target="numbering.xml"/><Relationship Id="rId1" Type="http://schemas.openxmlformats.org/officeDocument/2006/relationships/styles" Target="styles.xml"/><Relationship Id="rId12" Type="http://schemas.openxmlformats.org/officeDocument/2006/relationships/header" Target="header2.xml"/><Relationship Id="rId13" Type="http://schemas.openxmlformats.org/officeDocument/2006/relationships/footer" Target="footer2.xml"/><Relationship Id="rId14" Type="http://schemas.openxmlformats.org/officeDocument/2006/relationships/header" Target="header3.xml"/><Relationship Id="rId15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7</Pages>
  <Words>1730</Words>
  <Characters>1941</Characters>
  <Lines>0</Lines>
  <Paragraphs>0</Paragraphs>
  <TotalTime>0</TotalTime>
  <ScaleCrop>false</ScaleCrop>
  <LinksUpToDate>false</LinksUpToDate>
  <CharactersWithSpaces>1996</CharactersWithSpaces>
  <Application>WPS Office_12.1.0.26375_F1E327BC-269C-435d-A152-05C5408002CA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2025-09-03T14:43:00Z</dcterms:created>
  <dc:creator>郝宇</dc:creator>
  <cp:lastModifiedBy>郝宇</cp:lastModifiedBy>
  <dcterms:modified xsi:type="dcterms:W3CDTF">2026-05-25T03:34:45Z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BA828AC39D334D9FACCDF2EC6AEF6D30_13</vt:lpwstr>
  </property>
  <property fmtid="{D5CDD505-2E9C-101B-9397-08002B2CF9AE}" pid="3" name="KSOProductBuildVer">
    <vt:lpwstr>2052-12.1.0.26375</vt:lpwstr>
  </property>
  <property fmtid="{D5CDD505-2E9C-101B-9397-08002B2CF9AE}" pid="4" name="KSOTemplateDocerSaveRecord">
    <vt:lpwstr>eyJoZGlkIjoiYWNlNzNhNmIzOTIzZGY2M2QzZGFjMTM3NDZmMGZlYmUiLCJ1c2VySWQiOiIxMDc1MzgyOSJ9</vt:lpwstr>
  </property>
</Properties>
</file>