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65A9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29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7D249D6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112"/>
      <w:r>
        <w:rPr>
          <w:rFonts w:hint="eastAsia"/>
          <w:lang w:val="en-US" w:eastAsia="zh-CN"/>
        </w:rPr>
        <w:t>2025年度人员管理计划</w:t>
      </w:r>
      <w:bookmarkEnd w:id="1"/>
    </w:p>
    <w:p w14:paraId="116006B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文件编号：ZGS-05-10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B4FC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258D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编制部门:人力部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08E7E64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5A74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5FEEA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0604E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6" w:name="_GoBack"/>
            <w:bookmarkEnd w:id="26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B3C1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FDDC0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批准人:李文琼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23CE86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2ADB8D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68DC5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C025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6CB17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3C9B7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EB37D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59307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31FEF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62296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08C509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9AF6E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2350EE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李文琼</w:t>
            </w:r>
          </w:p>
        </w:tc>
      </w:tr>
      <w:tr w14:paraId="2CB55D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5B9156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62539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B7F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606AD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A3E41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FDFDA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3B709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AB2E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0964A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85211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5A0D310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3E68E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3E3A0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C3F8C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BC461D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54DC66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A598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_Toc6290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6FE1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2025年度人员管理计划</w:t>
          </w:r>
          <w:r>
            <w:tab/>
          </w:r>
          <w:r>
            <w:fldChar w:fldCharType="begin"/>
          </w:r>
          <w:r>
            <w:instrText xml:space="preserve"> PAGEREF _Toc16112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AB275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公司现状与规划</w:t>
          </w:r>
          <w:r>
            <w:tab/>
          </w:r>
          <w:r>
            <w:fldChar w:fldCharType="begin"/>
          </w:r>
          <w:r>
            <w:instrText xml:space="preserve"> PAGEREF _Toc7173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9A069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人员管理计划</w:t>
          </w:r>
          <w:r>
            <w:tab/>
          </w:r>
          <w:r>
            <w:fldChar w:fldCharType="begin"/>
          </w:r>
          <w:r>
            <w:instrText xml:space="preserve"> PAGEREF _Toc12141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655E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人员招聘管理计划</w:t>
          </w:r>
          <w:r>
            <w:tab/>
          </w:r>
          <w:r>
            <w:fldChar w:fldCharType="begin"/>
          </w:r>
          <w:r>
            <w:instrText xml:space="preserve"> PAGEREF _Toc25514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3F07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_Toc28741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504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_Toc12404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060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人员储备管理计划</w:t>
          </w:r>
          <w:r>
            <w:tab/>
          </w:r>
          <w:r>
            <w:fldChar w:fldCharType="begin"/>
          </w:r>
          <w:r>
            <w:instrText xml:space="preserve"> PAGEREF _Toc22547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0ACDC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_Toc6686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E58A9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_Toc5368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D548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人员培训管理计划</w:t>
          </w:r>
          <w:r>
            <w:tab/>
          </w:r>
          <w:r>
            <w:fldChar w:fldCharType="begin"/>
          </w:r>
          <w:r>
            <w:instrText xml:space="preserve"> PAGEREF _Toc24169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A5CA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_Toc7493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CED78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_Toc29591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ADE4E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人员绩效考核管理计划</w:t>
          </w:r>
          <w:r>
            <w:tab/>
          </w:r>
          <w:r>
            <w:fldChar w:fldCharType="begin"/>
          </w:r>
          <w:r>
            <w:instrText xml:space="preserve"> PAGEREF _Toc19107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1FC0D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_Toc16235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6D7B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_Toc7038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C98F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人员能力评价管理计划</w:t>
          </w:r>
          <w:r>
            <w:tab/>
          </w:r>
          <w:r>
            <w:fldChar w:fldCharType="begin"/>
          </w:r>
          <w:r>
            <w:instrText xml:space="preserve"> PAGEREF _Toc8051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EC97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885E0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_Toc5233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ADDC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人员备份管理计划</w:t>
          </w:r>
          <w:r>
            <w:tab/>
          </w:r>
          <w:r>
            <w:fldChar w:fldCharType="begin"/>
          </w:r>
          <w:r>
            <w:instrText xml:space="preserve"> PAGEREF _Toc19941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5C2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_Toc12814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9E8C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2.6.2. </w:t>
          </w:r>
          <w:r>
            <w:rPr>
              <w:rFonts w:hint="eastAsia"/>
              <w:lang w:val="en-US" w:eastAsia="zh-CN"/>
            </w:rPr>
            <w:t>实际内容</w:t>
          </w:r>
          <w:r>
            <w:tab/>
          </w:r>
          <w:r>
            <w:fldChar w:fldCharType="begin"/>
          </w:r>
          <w:r>
            <w:instrText xml:space="preserve"> PAGEREF _Toc17588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F7EA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资源保障</w:t>
          </w:r>
          <w:r>
            <w:tab/>
          </w:r>
          <w:r>
            <w:fldChar w:fldCharType="begin"/>
          </w:r>
          <w:r>
            <w:instrText xml:space="preserve"> PAGEREF _Toc15690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1016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人员保障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775D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经费保障</w:t>
          </w:r>
          <w:r>
            <w:tab/>
          </w:r>
          <w:r>
            <w:fldChar w:fldCharType="begin"/>
          </w:r>
          <w:r>
            <w:instrText xml:space="preserve"> PAGEREF _Toc30529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A8701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E2E6FE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88786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_Toc7173"/>
      <w:r>
        <w:rPr>
          <w:rFonts w:hint="eastAsia"/>
          <w:lang w:val="en-US" w:eastAsia="zh-CN"/>
        </w:rPr>
        <w:t>公司现状与规划</w:t>
      </w:r>
      <w:bookmarkEnd w:id="2"/>
    </w:p>
    <w:p w14:paraId="13138D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人员管理计划的核心目标是 “稳健扩容，赋能转型” 。计划将团队总规模从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人扩充至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人，在控制成本的同时，精准补充关键岗位人才，初步形成运维服务业务的交付与研发能力，并建立现代化的人力资源管理流程，为公司战略转型奠定坚实的人才基础。</w:t>
      </w:r>
    </w:p>
    <w:p w14:paraId="2283FFF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2141"/>
      <w:r>
        <w:rPr>
          <w:rFonts w:hint="eastAsia"/>
          <w:lang w:val="en-US" w:eastAsia="zh-CN"/>
        </w:rPr>
        <w:t>人员管理计划</w:t>
      </w:r>
      <w:bookmarkEnd w:id="3"/>
    </w:p>
    <w:p w14:paraId="542EFE9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5514"/>
      <w:r>
        <w:rPr>
          <w:rFonts w:hint="eastAsia"/>
          <w:lang w:val="en-US" w:eastAsia="zh-CN"/>
        </w:rPr>
        <w:t>人员招聘管理计划</w:t>
      </w:r>
      <w:bookmarkEnd w:id="4"/>
    </w:p>
    <w:p w14:paraId="0FED51C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8741"/>
      <w:r>
        <w:rPr>
          <w:rFonts w:hint="eastAsia"/>
          <w:lang w:val="en-US" w:eastAsia="zh-CN"/>
        </w:rPr>
        <w:t>目的</w:t>
      </w:r>
      <w:bookmarkEnd w:id="5"/>
    </w:p>
    <w:p w14:paraId="540646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支撑公司向IT运维服务的战略转型，解决当前团队规模与能力不足的核心矛盾，本招聘计划旨在通过分季度、有重点地引入关键岗位人才，系统性构建公司的技术服务交付、产品研发与质量管理体系，确保人才供给与业务发展节奏精准匹配。</w:t>
      </w:r>
    </w:p>
    <w:p w14:paraId="1D1E859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2404"/>
      <w:r>
        <w:rPr>
          <w:rFonts w:hint="eastAsia"/>
          <w:lang w:val="en-US" w:eastAsia="zh-CN"/>
        </w:rPr>
        <w:t>实际内容</w:t>
      </w:r>
      <w:bookmarkEnd w:id="6"/>
    </w:p>
    <w:p w14:paraId="09E4C5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根据公司实际业务发展需要进行招聘。</w:t>
      </w:r>
    </w:p>
    <w:p w14:paraId="4CCC53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招聘计划，如表2-1所示</w:t>
      </w:r>
    </w:p>
    <w:p w14:paraId="201E0B6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954"/>
        <w:gridCol w:w="1704"/>
        <w:gridCol w:w="1705"/>
        <w:gridCol w:w="1705"/>
      </w:tblGrid>
      <w:tr w14:paraId="0AE3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</w:tcPr>
          <w:p w14:paraId="6AA81E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1954" w:type="dxa"/>
          </w:tcPr>
          <w:p w14:paraId="66D982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招聘岗位</w:t>
            </w:r>
          </w:p>
        </w:tc>
        <w:tc>
          <w:tcPr>
            <w:tcW w:w="1704" w:type="dxa"/>
          </w:tcPr>
          <w:p w14:paraId="4CCDDF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1705" w:type="dxa"/>
          </w:tcPr>
          <w:p w14:paraId="3991D6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705" w:type="dxa"/>
          </w:tcPr>
          <w:p w14:paraId="38D28B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1BBC5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</w:tcPr>
          <w:p w14:paraId="33DD52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19C42B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1954" w:type="dxa"/>
          </w:tcPr>
          <w:p w14:paraId="793152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704" w:type="dxa"/>
          </w:tcPr>
          <w:p w14:paraId="152336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</w:tcPr>
          <w:p w14:paraId="18AA0B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2人</w:t>
            </w:r>
          </w:p>
        </w:tc>
        <w:tc>
          <w:tcPr>
            <w:tcW w:w="1705" w:type="dxa"/>
          </w:tcPr>
          <w:p w14:paraId="336873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 w14:paraId="5775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restart"/>
          </w:tcPr>
          <w:p w14:paraId="758C22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19DD201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1954" w:type="dxa"/>
          </w:tcPr>
          <w:p w14:paraId="5B51910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704" w:type="dxa"/>
          </w:tcPr>
          <w:p w14:paraId="41E49A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705" w:type="dxa"/>
          </w:tcPr>
          <w:p w14:paraId="6638B7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00A8C0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</w:tr>
      <w:tr w14:paraId="71893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continue"/>
          </w:tcPr>
          <w:p w14:paraId="4CB915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54" w:type="dxa"/>
          </w:tcPr>
          <w:p w14:paraId="0C5684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服务台专员</w:t>
            </w:r>
          </w:p>
        </w:tc>
        <w:tc>
          <w:tcPr>
            <w:tcW w:w="1704" w:type="dxa"/>
          </w:tcPr>
          <w:p w14:paraId="45E8A8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</w:tcPr>
          <w:p w14:paraId="48E2D4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09FD18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480B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restart"/>
          </w:tcPr>
          <w:p w14:paraId="674EE4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4FEF8B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1954" w:type="dxa"/>
          </w:tcPr>
          <w:p w14:paraId="4BD63C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1704" w:type="dxa"/>
          </w:tcPr>
          <w:p w14:paraId="52413A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705" w:type="dxa"/>
          </w:tcPr>
          <w:p w14:paraId="51A2A3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184FC7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 w14:paraId="6B65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  <w:vMerge w:val="continue"/>
          </w:tcPr>
          <w:p w14:paraId="2BF651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54" w:type="dxa"/>
          </w:tcPr>
          <w:p w14:paraId="38BD1B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质量管理专员</w:t>
            </w:r>
          </w:p>
        </w:tc>
        <w:tc>
          <w:tcPr>
            <w:tcW w:w="1704" w:type="dxa"/>
          </w:tcPr>
          <w:p w14:paraId="1AECB4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705" w:type="dxa"/>
          </w:tcPr>
          <w:p w14:paraId="024C8A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1人</w:t>
            </w:r>
          </w:p>
        </w:tc>
        <w:tc>
          <w:tcPr>
            <w:tcW w:w="1705" w:type="dxa"/>
          </w:tcPr>
          <w:p w14:paraId="0D5A0F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  <w:tr w14:paraId="0190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4" w:type="dxa"/>
          </w:tcPr>
          <w:p w14:paraId="55FC7B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737E58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1954" w:type="dxa"/>
          </w:tcPr>
          <w:p w14:paraId="77EDB4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4" w:type="dxa"/>
          </w:tcPr>
          <w:p w14:paraId="0C99FF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5" w:type="dxa"/>
          </w:tcPr>
          <w:p w14:paraId="5772B9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1705" w:type="dxa"/>
          </w:tcPr>
          <w:p w14:paraId="1CCC93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</w:tbl>
    <w:p w14:paraId="03DE0F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</w:p>
    <w:p w14:paraId="09325EA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2547"/>
      <w:r>
        <w:rPr>
          <w:rFonts w:hint="eastAsia"/>
          <w:lang w:val="en-US" w:eastAsia="zh-CN"/>
        </w:rPr>
        <w:t>人员储备管理计划</w:t>
      </w:r>
      <w:bookmarkEnd w:id="7"/>
    </w:p>
    <w:p w14:paraId="49BC02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6686"/>
      <w:r>
        <w:rPr>
          <w:rFonts w:hint="eastAsia"/>
          <w:lang w:val="en-US" w:eastAsia="zh-CN"/>
        </w:rPr>
        <w:t>目的</w:t>
      </w:r>
      <w:bookmarkEnd w:id="8"/>
    </w:p>
    <w:p w14:paraId="36E1B2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降低关键岗位的人才流失风险，保障业务连续性与稳定性，并为企业长远发展提供可持续的领导力供给，本计划通过识别关键岗位、实施导师制与项目炼金等机制，系统性培养内部后备人才，建立公司的人才梯队。</w:t>
      </w:r>
    </w:p>
    <w:p w14:paraId="4574D01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5368"/>
      <w:r>
        <w:rPr>
          <w:rFonts w:hint="eastAsia"/>
          <w:lang w:val="en-US" w:eastAsia="zh-CN"/>
        </w:rPr>
        <w:t>实际内容</w:t>
      </w:r>
      <w:bookmarkEnd w:id="9"/>
    </w:p>
    <w:p w14:paraId="379F3B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公司人员储备计划如表2-2所示</w:t>
      </w:r>
    </w:p>
    <w:p w14:paraId="1DDBBA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人员储备计划表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080"/>
        <w:gridCol w:w="1568"/>
        <w:gridCol w:w="2872"/>
        <w:gridCol w:w="1455"/>
      </w:tblGrid>
      <w:tr w14:paraId="00ED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118F57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储备目标岗位</w:t>
            </w:r>
          </w:p>
        </w:tc>
        <w:tc>
          <w:tcPr>
            <w:tcW w:w="1080" w:type="dxa"/>
          </w:tcPr>
          <w:p w14:paraId="5EBDFF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储备人次</w:t>
            </w:r>
          </w:p>
        </w:tc>
        <w:tc>
          <w:tcPr>
            <w:tcW w:w="1568" w:type="dxa"/>
          </w:tcPr>
          <w:p w14:paraId="3A5928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储备人选来源</w:t>
            </w:r>
          </w:p>
        </w:tc>
        <w:tc>
          <w:tcPr>
            <w:tcW w:w="2872" w:type="dxa"/>
          </w:tcPr>
          <w:p w14:paraId="1401FA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核心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培训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措施</w:t>
            </w:r>
          </w:p>
        </w:tc>
        <w:tc>
          <w:tcPr>
            <w:tcW w:w="1455" w:type="dxa"/>
          </w:tcPr>
          <w:p w14:paraId="4F2B1A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计划完成时间</w:t>
            </w:r>
          </w:p>
        </w:tc>
      </w:tr>
      <w:tr w14:paraId="7A67B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46" w:type="dxa"/>
          </w:tcPr>
          <w:p w14:paraId="36EC94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运维部部长</w:t>
            </w:r>
          </w:p>
        </w:tc>
        <w:tc>
          <w:tcPr>
            <w:tcW w:w="1080" w:type="dxa"/>
          </w:tcPr>
          <w:p w14:paraId="6C7F89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2人</w:t>
            </w:r>
          </w:p>
        </w:tc>
        <w:tc>
          <w:tcPr>
            <w:tcW w:w="1568" w:type="dxa"/>
          </w:tcPr>
          <w:p w14:paraId="753439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现任运维项目部长</w:t>
            </w:r>
          </w:p>
        </w:tc>
        <w:tc>
          <w:tcPr>
            <w:tcW w:w="2872" w:type="dxa"/>
          </w:tcPr>
          <w:p w14:paraId="5D5726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导师制： 由外聘导师进行一对一领导力辅导</w:t>
            </w:r>
          </w:p>
          <w:p w14:paraId="584A52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轮岗实践： 短期轮岗至研发部、质量部，了解全业务链</w:t>
            </w:r>
          </w:p>
          <w:p w14:paraId="0BBB38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授权历练： 独立负责部门季度规划、预算编制模拟、主持重要客户会议</w:t>
            </w:r>
          </w:p>
        </w:tc>
        <w:tc>
          <w:tcPr>
            <w:tcW w:w="1455" w:type="dxa"/>
          </w:tcPr>
          <w:p w14:paraId="43074F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2025年8月</w:t>
            </w:r>
          </w:p>
        </w:tc>
      </w:tr>
      <w:tr w14:paraId="60439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73F797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运维项目部长</w:t>
            </w:r>
          </w:p>
        </w:tc>
        <w:tc>
          <w:tcPr>
            <w:tcW w:w="1080" w:type="dxa"/>
          </w:tcPr>
          <w:p w14:paraId="31B57E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568" w:type="dxa"/>
          </w:tcPr>
          <w:p w14:paraId="5C4327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现任运维工程师</w:t>
            </w:r>
          </w:p>
        </w:tc>
        <w:tc>
          <w:tcPr>
            <w:tcW w:w="2872" w:type="dxa"/>
          </w:tcPr>
          <w:p w14:paraId="24DF6C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项目实践： 担任小型项目副组长，在指导下全程参与项目管理</w:t>
            </w:r>
          </w:p>
          <w:p w14:paraId="2AF531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专项培训： 参加PMP认证培训，学习项目管理方法论</w:t>
            </w:r>
          </w:p>
          <w:p w14:paraId="6422EA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参与决策： 列席项目复盘会、售前技术方案讨论会</w:t>
            </w:r>
          </w:p>
        </w:tc>
        <w:tc>
          <w:tcPr>
            <w:tcW w:w="1455" w:type="dxa"/>
          </w:tcPr>
          <w:p w14:paraId="441ACC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</w:tr>
      <w:tr w14:paraId="76AA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6" w:type="dxa"/>
          </w:tcPr>
          <w:p w14:paraId="7DA6BD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研发部部长</w:t>
            </w:r>
          </w:p>
        </w:tc>
        <w:tc>
          <w:tcPr>
            <w:tcW w:w="1080" w:type="dxa"/>
          </w:tcPr>
          <w:p w14:paraId="52F779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1人</w:t>
            </w:r>
          </w:p>
        </w:tc>
        <w:tc>
          <w:tcPr>
            <w:tcW w:w="1568" w:type="dxa"/>
          </w:tcPr>
          <w:p w14:paraId="5B4074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现任开发工程师</w:t>
            </w:r>
          </w:p>
        </w:tc>
        <w:tc>
          <w:tcPr>
            <w:tcW w:w="2872" w:type="dxa"/>
          </w:tcPr>
          <w:p w14:paraId="7265EC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1. 技术管理： 负责技术选型评审、代码规范制定</w:t>
            </w:r>
          </w:p>
          <w:p w14:paraId="356D16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2. 带队任务： 作为技术组长，带领小组完成一个产品模块的开发。</w:t>
            </w:r>
          </w:p>
          <w:p w14:paraId="2B1B99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3. 业务接触： 跟随项目部长参与客户需求调研，理解业务痛点</w:t>
            </w:r>
          </w:p>
        </w:tc>
        <w:tc>
          <w:tcPr>
            <w:tcW w:w="1455" w:type="dxa"/>
          </w:tcPr>
          <w:p w14:paraId="555B82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2025年</w:t>
            </w:r>
            <w:r>
              <w:rPr>
                <w:rFonts w:hint="eastAsia" w:ascii="宋体" w:hAnsi="宋体" w:cs="宋体"/>
                <w:sz w:val="16"/>
                <w:szCs w:val="16"/>
                <w:vertAlign w:val="baseline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sz w:val="16"/>
                <w:szCs w:val="16"/>
                <w:vertAlign w:val="baseline"/>
                <w:lang w:val="en-US" w:eastAsia="zh-CN"/>
              </w:rPr>
              <w:t>月</w:t>
            </w:r>
          </w:p>
        </w:tc>
      </w:tr>
    </w:tbl>
    <w:p w14:paraId="3611775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4169"/>
      <w:r>
        <w:rPr>
          <w:rFonts w:hint="eastAsia"/>
          <w:lang w:val="en-US" w:eastAsia="zh-CN"/>
        </w:rPr>
        <w:t>人员培训管理计划</w:t>
      </w:r>
      <w:bookmarkEnd w:id="10"/>
    </w:p>
    <w:p w14:paraId="599D189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7493"/>
      <w:r>
        <w:rPr>
          <w:rFonts w:hint="eastAsia"/>
          <w:lang w:val="en-US" w:eastAsia="zh-CN"/>
        </w:rPr>
        <w:t>目的</w:t>
      </w:r>
      <w:bookmarkEnd w:id="11"/>
    </w:p>
    <w:p w14:paraId="28CBA5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新老员工能快速适应公司战略转型要求，提升整体专业素养与协同效率，本培训计划旨在通过系统性的赋能，统一服务思想、补齐技能短板、培养后备骨干，从而构建一支既能深入专业领域又能协同作战的复合型团队。</w:t>
      </w:r>
    </w:p>
    <w:p w14:paraId="727CB0A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9591"/>
      <w:r>
        <w:rPr>
          <w:rFonts w:hint="eastAsia"/>
          <w:lang w:val="en-US" w:eastAsia="zh-CN"/>
        </w:rPr>
        <w:t>实际内容</w:t>
      </w:r>
      <w:bookmarkEnd w:id="12"/>
    </w:p>
    <w:p w14:paraId="25370C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培训计划，如表2-3所示</w:t>
      </w:r>
    </w:p>
    <w:p w14:paraId="36F323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培训计划表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2935"/>
        <w:gridCol w:w="1516"/>
        <w:gridCol w:w="1516"/>
        <w:gridCol w:w="1310"/>
      </w:tblGrid>
      <w:tr w14:paraId="0F3F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</w:tcPr>
          <w:p w14:paraId="7EFD4A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  <w:tc>
          <w:tcPr>
            <w:tcW w:w="2935" w:type="dxa"/>
          </w:tcPr>
          <w:p w14:paraId="3EC9DC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培训主题</w:t>
            </w:r>
          </w:p>
        </w:tc>
        <w:tc>
          <w:tcPr>
            <w:tcW w:w="1516" w:type="dxa"/>
          </w:tcPr>
          <w:p w14:paraId="680054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主要部门</w:t>
            </w:r>
          </w:p>
        </w:tc>
        <w:tc>
          <w:tcPr>
            <w:tcW w:w="1516" w:type="dxa"/>
          </w:tcPr>
          <w:p w14:paraId="1E9701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培训时间</w:t>
            </w:r>
          </w:p>
        </w:tc>
        <w:tc>
          <w:tcPr>
            <w:tcW w:w="1310" w:type="dxa"/>
          </w:tcPr>
          <w:p w14:paraId="7540F5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培训方式</w:t>
            </w:r>
          </w:p>
        </w:tc>
      </w:tr>
      <w:tr w14:paraId="3810A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5DFE1A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291A606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第一季度</w:t>
            </w:r>
          </w:p>
        </w:tc>
        <w:tc>
          <w:tcPr>
            <w:tcW w:w="2935" w:type="dxa"/>
          </w:tcPr>
          <w:p w14:paraId="3FF3ECA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公司战略与文化融合</w:t>
            </w:r>
          </w:p>
        </w:tc>
        <w:tc>
          <w:tcPr>
            <w:tcW w:w="1516" w:type="dxa"/>
          </w:tcPr>
          <w:p w14:paraId="5916D3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6" w:type="dxa"/>
          </w:tcPr>
          <w:p w14:paraId="2D77B5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310" w:type="dxa"/>
          </w:tcPr>
          <w:p w14:paraId="11DAFD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5887C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54AC19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0BC30B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ITSS运行维护服务体系培训</w:t>
            </w:r>
          </w:p>
        </w:tc>
        <w:tc>
          <w:tcPr>
            <w:tcW w:w="1516" w:type="dxa"/>
          </w:tcPr>
          <w:p w14:paraId="4166AC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运维部、质量部、人力部</w:t>
            </w:r>
          </w:p>
        </w:tc>
        <w:tc>
          <w:tcPr>
            <w:tcW w:w="1516" w:type="dxa"/>
          </w:tcPr>
          <w:p w14:paraId="260556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10" w:type="dxa"/>
          </w:tcPr>
          <w:p w14:paraId="3C9B3C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7B87E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5C1D8D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6CCE96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技术岗位画像与面试技巧</w:t>
            </w:r>
          </w:p>
        </w:tc>
        <w:tc>
          <w:tcPr>
            <w:tcW w:w="1516" w:type="dxa"/>
          </w:tcPr>
          <w:p w14:paraId="4B7228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516" w:type="dxa"/>
          </w:tcPr>
          <w:p w14:paraId="60A906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10" w:type="dxa"/>
          </w:tcPr>
          <w:p w14:paraId="6E06A6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专项</w:t>
            </w:r>
          </w:p>
        </w:tc>
      </w:tr>
      <w:tr w14:paraId="2504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1474F0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39033D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第二季度</w:t>
            </w:r>
          </w:p>
        </w:tc>
        <w:tc>
          <w:tcPr>
            <w:tcW w:w="2935" w:type="dxa"/>
          </w:tcPr>
          <w:p w14:paraId="6781E2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Java核心框架培训</w:t>
            </w:r>
          </w:p>
        </w:tc>
        <w:tc>
          <w:tcPr>
            <w:tcW w:w="1516" w:type="dxa"/>
          </w:tcPr>
          <w:p w14:paraId="6825CF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6" w:type="dxa"/>
          </w:tcPr>
          <w:p w14:paraId="15B4F6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10" w:type="dxa"/>
          </w:tcPr>
          <w:p w14:paraId="78A70C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78BD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642F28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136004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Linux系统管理与shell脚本</w:t>
            </w:r>
          </w:p>
        </w:tc>
        <w:tc>
          <w:tcPr>
            <w:tcW w:w="1516" w:type="dxa"/>
          </w:tcPr>
          <w:p w14:paraId="27D7F48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516" w:type="dxa"/>
          </w:tcPr>
          <w:p w14:paraId="0BA7AB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10" w:type="dxa"/>
          </w:tcPr>
          <w:p w14:paraId="0CD0C8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78343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11F9AB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2F897A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硬件运维服务技能</w:t>
            </w:r>
          </w:p>
        </w:tc>
        <w:tc>
          <w:tcPr>
            <w:tcW w:w="1516" w:type="dxa"/>
          </w:tcPr>
          <w:p w14:paraId="378E95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</w:tcPr>
          <w:p w14:paraId="610C5E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10" w:type="dxa"/>
          </w:tcPr>
          <w:p w14:paraId="77BF2D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659A9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2EFE56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12CDFE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ITSS服务质量与内审流程</w:t>
            </w:r>
          </w:p>
        </w:tc>
        <w:tc>
          <w:tcPr>
            <w:tcW w:w="1516" w:type="dxa"/>
          </w:tcPr>
          <w:p w14:paraId="0BEB03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1516" w:type="dxa"/>
          </w:tcPr>
          <w:p w14:paraId="091F44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10" w:type="dxa"/>
          </w:tcPr>
          <w:p w14:paraId="0708B98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  <w:tr w14:paraId="14B75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12AFE78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6D0D8E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IT软硬件采购流程入门</w:t>
            </w:r>
          </w:p>
        </w:tc>
        <w:tc>
          <w:tcPr>
            <w:tcW w:w="1516" w:type="dxa"/>
          </w:tcPr>
          <w:p w14:paraId="3C2DF8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</w:t>
            </w:r>
          </w:p>
        </w:tc>
        <w:tc>
          <w:tcPr>
            <w:tcW w:w="1516" w:type="dxa"/>
            <w:shd w:val="clear" w:color="auto" w:fill="auto"/>
          </w:tcPr>
          <w:p w14:paraId="36B175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10" w:type="dxa"/>
          </w:tcPr>
          <w:p w14:paraId="17CC09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流程讲解</w:t>
            </w:r>
          </w:p>
        </w:tc>
      </w:tr>
      <w:tr w14:paraId="6CD1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5198D1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79D563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第三季度</w:t>
            </w:r>
          </w:p>
        </w:tc>
        <w:tc>
          <w:tcPr>
            <w:tcW w:w="2935" w:type="dxa"/>
          </w:tcPr>
          <w:p w14:paraId="30647CD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前端开发框架培训</w:t>
            </w:r>
          </w:p>
        </w:tc>
        <w:tc>
          <w:tcPr>
            <w:tcW w:w="1516" w:type="dxa"/>
          </w:tcPr>
          <w:p w14:paraId="1E5C61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1516" w:type="dxa"/>
            <w:shd w:val="clear" w:color="auto" w:fill="auto"/>
          </w:tcPr>
          <w:p w14:paraId="2F5EC2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10" w:type="dxa"/>
          </w:tcPr>
          <w:p w14:paraId="2FCD952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线上培训</w:t>
            </w:r>
          </w:p>
        </w:tc>
      </w:tr>
      <w:tr w14:paraId="46F0F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581835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5C168C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运维工具使用培训</w:t>
            </w:r>
          </w:p>
        </w:tc>
        <w:tc>
          <w:tcPr>
            <w:tcW w:w="1516" w:type="dxa"/>
          </w:tcPr>
          <w:p w14:paraId="3ACE01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</w:t>
            </w:r>
          </w:p>
        </w:tc>
        <w:tc>
          <w:tcPr>
            <w:tcW w:w="1516" w:type="dxa"/>
            <w:shd w:val="clear" w:color="auto" w:fill="auto"/>
          </w:tcPr>
          <w:p w14:paraId="7CE406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310" w:type="dxa"/>
          </w:tcPr>
          <w:p w14:paraId="3C574F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3A43A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328ACE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0A2D3E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网络安全管理培训</w:t>
            </w:r>
          </w:p>
        </w:tc>
        <w:tc>
          <w:tcPr>
            <w:tcW w:w="1516" w:type="dxa"/>
          </w:tcPr>
          <w:p w14:paraId="464046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运维部、服务台</w:t>
            </w:r>
          </w:p>
        </w:tc>
        <w:tc>
          <w:tcPr>
            <w:tcW w:w="1516" w:type="dxa"/>
            <w:shd w:val="clear" w:color="auto" w:fill="auto"/>
          </w:tcPr>
          <w:p w14:paraId="3FC319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310" w:type="dxa"/>
          </w:tcPr>
          <w:p w14:paraId="671A25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角色扮演</w:t>
            </w:r>
          </w:p>
        </w:tc>
      </w:tr>
      <w:tr w14:paraId="7F96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0DDB205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0767DB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项目管理基础</w:t>
            </w:r>
          </w:p>
        </w:tc>
        <w:tc>
          <w:tcPr>
            <w:tcW w:w="1516" w:type="dxa"/>
          </w:tcPr>
          <w:p w14:paraId="72169CF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运维部、研发部、质量部</w:t>
            </w:r>
          </w:p>
        </w:tc>
        <w:tc>
          <w:tcPr>
            <w:tcW w:w="1516" w:type="dxa"/>
            <w:shd w:val="clear" w:color="auto" w:fill="auto"/>
          </w:tcPr>
          <w:p w14:paraId="0FDCA0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310" w:type="dxa"/>
          </w:tcPr>
          <w:p w14:paraId="0603C4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线上认证</w:t>
            </w:r>
          </w:p>
        </w:tc>
      </w:tr>
      <w:tr w14:paraId="3B04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restart"/>
          </w:tcPr>
          <w:p w14:paraId="57F2C6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</w:t>
            </w:r>
          </w:p>
          <w:p w14:paraId="0E96B1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第四季度</w:t>
            </w:r>
          </w:p>
        </w:tc>
        <w:tc>
          <w:tcPr>
            <w:tcW w:w="2935" w:type="dxa"/>
          </w:tcPr>
          <w:p w14:paraId="29D3C6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Python自动化运维脚本</w:t>
            </w:r>
          </w:p>
        </w:tc>
        <w:tc>
          <w:tcPr>
            <w:tcW w:w="1516" w:type="dxa"/>
          </w:tcPr>
          <w:p w14:paraId="308309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  <w:shd w:val="clear" w:color="auto" w:fill="auto"/>
          </w:tcPr>
          <w:p w14:paraId="2818E8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10" w:type="dxa"/>
          </w:tcPr>
          <w:p w14:paraId="4C858A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内部分享</w:t>
            </w:r>
          </w:p>
        </w:tc>
      </w:tr>
      <w:tr w14:paraId="17DF4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0E41C8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293106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监控工具常见问题培训</w:t>
            </w:r>
          </w:p>
        </w:tc>
        <w:tc>
          <w:tcPr>
            <w:tcW w:w="1516" w:type="dxa"/>
          </w:tcPr>
          <w:p w14:paraId="36D45B2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1516" w:type="dxa"/>
            <w:shd w:val="clear" w:color="auto" w:fill="auto"/>
          </w:tcPr>
          <w:p w14:paraId="2E80E8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10" w:type="dxa"/>
          </w:tcPr>
          <w:p w14:paraId="36A45A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</w:t>
            </w:r>
          </w:p>
        </w:tc>
      </w:tr>
      <w:tr w14:paraId="28FC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7ABCA6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53A390F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服务知识管理培训</w:t>
            </w:r>
          </w:p>
        </w:tc>
        <w:tc>
          <w:tcPr>
            <w:tcW w:w="1516" w:type="dxa"/>
          </w:tcPr>
          <w:p w14:paraId="6D692A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全体员工</w:t>
            </w:r>
          </w:p>
        </w:tc>
        <w:tc>
          <w:tcPr>
            <w:tcW w:w="1516" w:type="dxa"/>
            <w:shd w:val="clear" w:color="auto" w:fill="auto"/>
          </w:tcPr>
          <w:p w14:paraId="1152FD0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310" w:type="dxa"/>
          </w:tcPr>
          <w:p w14:paraId="28EAE2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总结</w:t>
            </w:r>
          </w:p>
        </w:tc>
      </w:tr>
      <w:tr w14:paraId="4326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5" w:type="dxa"/>
            <w:vMerge w:val="continue"/>
          </w:tcPr>
          <w:p w14:paraId="7D9B77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935" w:type="dxa"/>
          </w:tcPr>
          <w:p w14:paraId="68D3E58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团队管理与领导能力启蒙</w:t>
            </w:r>
          </w:p>
        </w:tc>
        <w:tc>
          <w:tcPr>
            <w:tcW w:w="1516" w:type="dxa"/>
          </w:tcPr>
          <w:p w14:paraId="6BFDDD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部门部长</w:t>
            </w:r>
          </w:p>
        </w:tc>
        <w:tc>
          <w:tcPr>
            <w:tcW w:w="1516" w:type="dxa"/>
            <w:shd w:val="clear" w:color="auto" w:fill="auto"/>
          </w:tcPr>
          <w:p w14:paraId="12403A7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2025年11月</w:t>
            </w:r>
          </w:p>
        </w:tc>
        <w:tc>
          <w:tcPr>
            <w:tcW w:w="1310" w:type="dxa"/>
          </w:tcPr>
          <w:p w14:paraId="2A363A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外聘</w:t>
            </w:r>
          </w:p>
        </w:tc>
      </w:tr>
    </w:tbl>
    <w:p w14:paraId="4B8013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培训保障机制：</w:t>
      </w:r>
    </w:p>
    <w:p w14:paraId="08D8E5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预算支持：公司设立专项培训经费，用于支付外部讲师、课程费用及认证考试费。</w:t>
      </w:r>
    </w:p>
    <w:p w14:paraId="2CB40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效果评估：每次培训后通过问卷或考试进行评估，并要求受训员工进行内部分享，确保知识转化。</w:t>
      </w:r>
    </w:p>
    <w:p w14:paraId="2B3986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与绩效挂钩：将培训参与度与完成情况纳入个人年度绩效考核的“能力与行为”维度。</w:t>
      </w:r>
    </w:p>
    <w:p w14:paraId="5CEF4E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3" w:name="_Toc19107"/>
      <w:r>
        <w:rPr>
          <w:rFonts w:hint="eastAsia"/>
          <w:lang w:val="en-US" w:eastAsia="zh-CN"/>
        </w:rPr>
        <w:t>人员绩效考核管理计划</w:t>
      </w:r>
      <w:bookmarkEnd w:id="13"/>
    </w:p>
    <w:p w14:paraId="0BDC15F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4" w:name="_Toc16235"/>
      <w:r>
        <w:rPr>
          <w:rFonts w:hint="eastAsia"/>
          <w:lang w:val="en-US" w:eastAsia="zh-CN"/>
        </w:rPr>
        <w:t>目的</w:t>
      </w:r>
      <w:bookmarkEnd w:id="14"/>
    </w:p>
    <w:p w14:paraId="6370D9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驱动公司战略目标有效分解与落地，激励员工产生高价值贡献，并营造公平、公正的评估与激励环境，本绩效方案旨在建立一套与转型目标强关联、量化为主的考核体系，将个人收入与成长与公司发展紧密捆绑。</w:t>
      </w:r>
    </w:p>
    <w:p w14:paraId="7A24731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7038"/>
      <w:r>
        <w:rPr>
          <w:rFonts w:hint="eastAsia"/>
          <w:lang w:val="en-US" w:eastAsia="zh-CN"/>
        </w:rPr>
        <w:t>实际内容</w:t>
      </w:r>
      <w:bookmarkEnd w:id="15"/>
    </w:p>
    <w:p w14:paraId="785B085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依据《绩效考核管理制度》每月对人员进行考核，要求绩效考核合格率达到95%以上</w:t>
      </w:r>
    </w:p>
    <w:p w14:paraId="0BCCA09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8051"/>
      <w:r>
        <w:rPr>
          <w:rFonts w:hint="eastAsia"/>
          <w:lang w:val="en-US" w:eastAsia="zh-CN"/>
        </w:rPr>
        <w:t>人员能力评价管理计划</w:t>
      </w:r>
      <w:bookmarkEnd w:id="16"/>
    </w:p>
    <w:p w14:paraId="5629C71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3495"/>
      <w:r>
        <w:rPr>
          <w:rFonts w:hint="eastAsia"/>
          <w:lang w:val="en-US" w:eastAsia="zh-CN"/>
        </w:rPr>
        <w:t>目的</w:t>
      </w:r>
      <w:bookmarkEnd w:id="17"/>
    </w:p>
    <w:p w14:paraId="202510A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客观衡量员工能力水平，打通“能力-薪酬-晋升”的职业发展通道，并为培训、招聘等工作提供精准依据，本评定计划旨在建立一套标准化的岗位技能等级体系与评定流程，实现对人才能力的精准盘点与有效激励。</w:t>
      </w:r>
    </w:p>
    <w:p w14:paraId="50B768C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5233"/>
      <w:r>
        <w:rPr>
          <w:rFonts w:hint="eastAsia"/>
          <w:lang w:val="en-US" w:eastAsia="zh-CN"/>
        </w:rPr>
        <w:t>实际内容</w:t>
      </w:r>
      <w:bookmarkEnd w:id="18"/>
    </w:p>
    <w:p w14:paraId="3BA2A50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78" w:line="361" w:lineRule="auto"/>
        <w:ind w:left="14" w:firstLine="474"/>
        <w:jc w:val="both"/>
        <w:textAlignment w:val="baseline"/>
        <w:rPr>
          <w:rFonts w:hint="default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根据《能力评价管理制度》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每季度对人员专业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能力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进行考核，要求考核合格率达到95%以上。</w:t>
      </w:r>
    </w:p>
    <w:p w14:paraId="0795301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9941"/>
      <w:r>
        <w:rPr>
          <w:rFonts w:hint="eastAsia"/>
          <w:lang w:val="en-US" w:eastAsia="zh-CN"/>
        </w:rPr>
        <w:t>人员备份管理计划</w:t>
      </w:r>
      <w:bookmarkEnd w:id="19"/>
    </w:p>
    <w:p w14:paraId="28BC763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2814"/>
      <w:r>
        <w:rPr>
          <w:rFonts w:hint="eastAsia"/>
          <w:lang w:val="en-US" w:eastAsia="zh-CN"/>
        </w:rPr>
        <w:t>目的</w:t>
      </w:r>
      <w:bookmarkEnd w:id="20"/>
    </w:p>
    <w:p w14:paraId="6B0FB8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旨在应对关键岗位员工因休假、离职、病假等突发性、短期缺席而导致的业务中断风险。其核心目标是保障当前业务运营的连续性与稳定性，确保各项工作在紧急情况下能无缝衔接，是一项业务连续性管理措施。</w:t>
      </w:r>
    </w:p>
    <w:p w14:paraId="18D8D50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7588"/>
      <w:r>
        <w:rPr>
          <w:rFonts w:hint="eastAsia"/>
          <w:lang w:val="en-US" w:eastAsia="zh-CN"/>
        </w:rPr>
        <w:t>实际内容</w:t>
      </w:r>
      <w:bookmarkEnd w:id="21"/>
    </w:p>
    <w:p w14:paraId="179F8C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备份计划要求备份人员能在短期内（如1-4周）临时接替核心职责</w:t>
      </w:r>
      <w:r>
        <w:rPr>
          <w:rFonts w:hint="eastAsia"/>
          <w:lang w:val="en-US" w:eastAsia="zh-CN"/>
        </w:rPr>
        <w:t>。关键岗位备份情况如表2-4所示</w:t>
      </w:r>
    </w:p>
    <w:p w14:paraId="4A7D9D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关键岗位备份表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7F1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828A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关键岗位</w:t>
            </w:r>
          </w:p>
        </w:tc>
        <w:tc>
          <w:tcPr>
            <w:tcW w:w="2130" w:type="dxa"/>
          </w:tcPr>
          <w:p w14:paraId="140E72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主要备份人</w:t>
            </w:r>
          </w:p>
        </w:tc>
        <w:tc>
          <w:tcPr>
            <w:tcW w:w="2131" w:type="dxa"/>
          </w:tcPr>
          <w:p w14:paraId="1F2626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次要备份人</w:t>
            </w:r>
          </w:p>
        </w:tc>
        <w:tc>
          <w:tcPr>
            <w:tcW w:w="2131" w:type="dxa"/>
          </w:tcPr>
          <w:p w14:paraId="1B715E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工作交接内容</w:t>
            </w:r>
          </w:p>
        </w:tc>
      </w:tr>
      <w:tr w14:paraId="7887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BA98F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运维部部长</w:t>
            </w:r>
          </w:p>
        </w:tc>
        <w:tc>
          <w:tcPr>
            <w:tcW w:w="2130" w:type="dxa"/>
          </w:tcPr>
          <w:p w14:paraId="7892BE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运维项目部长</w:t>
            </w:r>
          </w:p>
        </w:tc>
        <w:tc>
          <w:tcPr>
            <w:tcW w:w="2131" w:type="dxa"/>
          </w:tcPr>
          <w:p w14:paraId="64E885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运维工程师</w:t>
            </w:r>
          </w:p>
        </w:tc>
        <w:tc>
          <w:tcPr>
            <w:tcW w:w="2131" w:type="dxa"/>
          </w:tcPr>
          <w:p w14:paraId="1E7ED417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核心联系人</w:t>
            </w:r>
          </w:p>
          <w:p w14:paraId="74B77AE6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审批权限</w:t>
            </w:r>
          </w:p>
        </w:tc>
      </w:tr>
      <w:tr w14:paraId="5627B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97743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2130" w:type="dxa"/>
          </w:tcPr>
          <w:p w14:paraId="394B50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其他开发工程师</w:t>
            </w:r>
          </w:p>
        </w:tc>
        <w:tc>
          <w:tcPr>
            <w:tcW w:w="2131" w:type="dxa"/>
          </w:tcPr>
          <w:p w14:paraId="2CB8600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273D574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系统架构文档</w:t>
            </w:r>
          </w:p>
          <w:p w14:paraId="7D65BAD5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代码仓库权限</w:t>
            </w:r>
          </w:p>
        </w:tc>
      </w:tr>
      <w:tr w14:paraId="36B9D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A1A48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采购专员</w:t>
            </w:r>
          </w:p>
        </w:tc>
        <w:tc>
          <w:tcPr>
            <w:tcW w:w="2130" w:type="dxa"/>
          </w:tcPr>
          <w:p w14:paraId="5E0988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采购部部长</w:t>
            </w:r>
          </w:p>
        </w:tc>
        <w:tc>
          <w:tcPr>
            <w:tcW w:w="2131" w:type="dxa"/>
          </w:tcPr>
          <w:p w14:paraId="098F40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备品备件管理员</w:t>
            </w:r>
          </w:p>
        </w:tc>
        <w:tc>
          <w:tcPr>
            <w:tcW w:w="2131" w:type="dxa"/>
          </w:tcPr>
          <w:p w14:paraId="46B83EE7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供应商联络表</w:t>
            </w:r>
          </w:p>
          <w:p w14:paraId="1CA125AA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both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采购清单</w:t>
            </w:r>
          </w:p>
        </w:tc>
      </w:tr>
    </w:tbl>
    <w:p w14:paraId="0D35F8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4D6CCD18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bookmarkStart w:id="22" w:name="bookmark14"/>
      <w:bookmarkEnd w:id="22"/>
      <w:bookmarkStart w:id="23" w:name="_Toc15690"/>
      <w:r>
        <w:rPr>
          <w:rFonts w:hint="eastAsia"/>
          <w:lang w:val="en-US" w:eastAsia="zh-CN"/>
        </w:rPr>
        <w:t>资源保障</w:t>
      </w:r>
      <w:bookmarkEnd w:id="23"/>
    </w:p>
    <w:p w14:paraId="7BBD9258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bookmarkStart w:id="24" w:name="_Toc14370"/>
      <w:r>
        <w:rPr>
          <w:rFonts w:hint="eastAsia"/>
          <w:lang w:val="en-US" w:eastAsia="zh-CN"/>
        </w:rPr>
        <w:t>人员保障</w:t>
      </w:r>
      <w:bookmarkEnd w:id="24"/>
    </w:p>
    <w:p w14:paraId="0AD6FFA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人力部配备专人组织培训</w:t>
      </w:r>
    </w:p>
    <w:p w14:paraId="56F70DD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各部门负责人作为本部门人员管理第一责任人</w:t>
      </w:r>
    </w:p>
    <w:p w14:paraId="5F24350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运维部指定专人负责新员工导师带教</w:t>
      </w:r>
    </w:p>
    <w:p w14:paraId="5DAA7F1D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5" w:name="_Toc30529"/>
      <w:r>
        <w:rPr>
          <w:rFonts w:hint="eastAsia"/>
          <w:lang w:val="en-US" w:eastAsia="zh-CN"/>
        </w:rPr>
        <w:t>经费保障</w:t>
      </w:r>
      <w:bookmarkEnd w:id="2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1"/>
        <w:gridCol w:w="2283"/>
        <w:gridCol w:w="4791"/>
      </w:tblGrid>
      <w:tr w14:paraId="6207F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24ABB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53036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预算（万元）</w:t>
            </w:r>
          </w:p>
        </w:tc>
        <w:tc>
          <w:tcPr>
            <w:tcW w:w="47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4B2F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5FFA9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C3A017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B786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B5CB1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招聘平台、猎头服务、招聘会</w:t>
            </w:r>
          </w:p>
        </w:tc>
      </w:tr>
      <w:tr w14:paraId="6A82D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3CC6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培训费用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1561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1E8F9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外部培训、认证考试、内部讲师课酬</w:t>
            </w:r>
          </w:p>
        </w:tc>
      </w:tr>
      <w:tr w14:paraId="30538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F4CC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绩效奖励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1E7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023BC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年度绩效奖金、优秀员工奖励</w:t>
            </w:r>
          </w:p>
        </w:tc>
      </w:tr>
      <w:tr w14:paraId="3431C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B2168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619B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15.0</w:t>
            </w:r>
          </w:p>
        </w:tc>
        <w:tc>
          <w:tcPr>
            <w:tcW w:w="47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A76A9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 w14:paraId="1B160B1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9914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F6A624D"/>
    <w:multiLevelType w:val="singleLevel"/>
    <w:tmpl w:val="AF6A62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A9CD5B4"/>
    <w:multiLevelType w:val="singleLevel"/>
    <w:tmpl w:val="BA9CD5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538D2FA"/>
    <w:multiLevelType w:val="singleLevel"/>
    <w:tmpl w:val="3538D2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FF319D"/>
    <w:rsid w:val="0FFC7994"/>
    <w:rsid w:val="1E797AE0"/>
    <w:rsid w:val="22295E3B"/>
    <w:rsid w:val="291853E7"/>
    <w:rsid w:val="34DA5C46"/>
    <w:rsid w:val="37021484"/>
    <w:rsid w:val="417F0F0E"/>
    <w:rsid w:val="4F9E4497"/>
    <w:rsid w:val="54136627"/>
    <w:rsid w:val="68AA7102"/>
    <w:rsid w:val="6F8306AD"/>
    <w:rsid w:val="76E5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2284</Words>
  <Characters>2591</Characters>
  <Lines>0</Lines>
  <Paragraphs>0</Paragraphs>
  <TotalTime>0</TotalTime>
  <ScaleCrop>false</ScaleCrop>
  <LinksUpToDate>false</LinksUpToDate>
  <CharactersWithSpaces>2659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