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1631B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832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F42B06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4512"/>
      <w:r>
        <w:rPr>
          <w:rFonts w:hint="eastAsia"/>
          <w:lang w:val="en-US" w:eastAsia="zh-CN"/>
        </w:rPr>
        <w:t>2026年度人员管理计划</w:t>
      </w:r>
      <w:bookmarkEnd w:id="1"/>
    </w:p>
    <w:p w14:paraId="0B73D0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文件编号：ZGS-05-12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B1B4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33BC6F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606E07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1C05F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9EBB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50B00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22F88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EB3D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48DDF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</w:tbl>
    <w:p w14:paraId="037D6B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0C19C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479D8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559F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A8292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85B7D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713E1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690AA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10AF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03</w:t>
            </w:r>
          </w:p>
        </w:tc>
        <w:tc>
          <w:tcPr>
            <w:tcW w:w="919" w:type="dxa"/>
          </w:tcPr>
          <w:p w14:paraId="3E55D7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3D02E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C3BA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75811B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89EC3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8232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B4C5D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134C2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4B274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  <w:jc w:val="center"/>
        </w:trPr>
        <w:tc>
          <w:tcPr>
            <w:tcW w:w="2689" w:type="dxa"/>
          </w:tcPr>
          <w:p w14:paraId="06D537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A31ED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20237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34252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33A0D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28FA3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3F21E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FB8C2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D6735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39D22A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40F6CA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0051C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_Toc8327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8C8F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2026年度人员管理计划</w:t>
          </w:r>
          <w:r>
            <w:tab/>
          </w:r>
          <w:r>
            <w:fldChar w:fldCharType="begin"/>
          </w:r>
          <w:r>
            <w:instrText xml:space="preserve"> PAGEREF _Toc4512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3E5C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计划目的</w:t>
          </w:r>
          <w:r>
            <w:tab/>
          </w:r>
          <w:r>
            <w:fldChar w:fldCharType="begin"/>
          </w:r>
          <w:r>
            <w:instrText xml:space="preserve"> PAGEREF _Toc26648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E00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_Toc13145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1CBA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2025年人员管理</w:t>
          </w:r>
          <w:r>
            <w:rPr>
              <w:rFonts w:hint="eastAsia"/>
              <w:lang w:val="en-US" w:eastAsia="zh-CN"/>
            </w:rPr>
            <w:t>主要成果</w:t>
          </w:r>
          <w:r>
            <w:tab/>
          </w:r>
          <w:r>
            <w:fldChar w:fldCharType="begin"/>
          </w:r>
          <w:r>
            <w:instrText xml:space="preserve"> PAGEREF _Toc16842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0018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2026年人员管理目标</w:t>
          </w:r>
          <w:r>
            <w:tab/>
          </w:r>
          <w:r>
            <w:fldChar w:fldCharType="begin"/>
          </w:r>
          <w:r>
            <w:instrText xml:space="preserve"> PAGEREF _Toc29002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ADD1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2026年人员招聘计划</w:t>
          </w:r>
          <w:r>
            <w:tab/>
          </w:r>
          <w:r>
            <w:fldChar w:fldCharType="begin"/>
          </w:r>
          <w:r>
            <w:instrText xml:space="preserve"> PAGEREF _Toc4096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63F5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2026年人员储备计划</w:t>
          </w:r>
          <w:r>
            <w:tab/>
          </w:r>
          <w:r>
            <w:fldChar w:fldCharType="begin"/>
          </w:r>
          <w:r>
            <w:instrText xml:space="preserve"> PAGEREF _Toc13101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AF70D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2026年人员培训计划</w:t>
          </w:r>
          <w:r>
            <w:tab/>
          </w:r>
          <w:r>
            <w:fldChar w:fldCharType="begin"/>
          </w:r>
          <w:r>
            <w:instrText xml:space="preserve"> PAGEREF _Toc30435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25FD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2026年人员绩效考核计划</w:t>
          </w:r>
          <w:r>
            <w:tab/>
          </w:r>
          <w:r>
            <w:fldChar w:fldCharType="begin"/>
          </w:r>
          <w:r>
            <w:instrText xml:space="preserve"> PAGEREF _Toc25212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DD5A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2026年人员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870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2026年人员备份计划</w:t>
          </w:r>
          <w:r>
            <w:tab/>
          </w:r>
          <w:r>
            <w:fldChar w:fldCharType="begin"/>
          </w:r>
          <w:r>
            <w:instrText xml:space="preserve"> PAGEREF _Toc14188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0E18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 资源保障</w:t>
          </w:r>
          <w:r>
            <w:tab/>
          </w:r>
          <w:r>
            <w:fldChar w:fldCharType="begin"/>
          </w:r>
          <w:r>
            <w:instrText xml:space="preserve"> PAGEREF _Toc2764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D1D9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11.1. 人员保障</w:t>
          </w:r>
          <w:r>
            <w:tab/>
          </w:r>
          <w:r>
            <w:fldChar w:fldCharType="begin"/>
          </w:r>
          <w:r>
            <w:instrText xml:space="preserve"> PAGEREF _Toc26390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37A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11.2. 经费保障</w:t>
          </w:r>
          <w:r>
            <w:tab/>
          </w:r>
          <w:r>
            <w:fldChar w:fldCharType="begin"/>
          </w:r>
          <w:r>
            <w:instrText xml:space="preserve"> PAGEREF _Toc19111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B76F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12. 附件</w:t>
          </w:r>
          <w:r>
            <w:tab/>
          </w:r>
          <w:r>
            <w:fldChar w:fldCharType="begin"/>
          </w:r>
          <w:r>
            <w:instrText xml:space="preserve"> PAGEREF _Toc921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EB03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4F11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544B9EA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" w:name="_Toc26648"/>
      <w:r>
        <w:rPr>
          <w:rFonts w:hint="default"/>
          <w:lang w:val="en-US" w:eastAsia="zh-CN"/>
        </w:rPr>
        <w:t>计划目的</w:t>
      </w:r>
      <w:bookmarkEnd w:id="2"/>
    </w:p>
    <w:p w14:paraId="0EE3F3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为支撑公司运维服务能力持续提升和ITSS三级认证成果的深化应用，保障2026年度业务发展对人才的需求，系统性地规划人员招聘、储备、培训、绩效、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及备份等管理工作，建立与公司战略转型目标相匹配的人才队伍，特制定本计划。</w:t>
      </w:r>
    </w:p>
    <w:p w14:paraId="04F9B81E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3" w:name="_Toc13145"/>
      <w:r>
        <w:rPr>
          <w:rFonts w:hint="default"/>
          <w:lang w:val="en-US" w:eastAsia="zh-CN"/>
        </w:rPr>
        <w:t>适用范围</w:t>
      </w:r>
      <w:bookmarkEnd w:id="3"/>
    </w:p>
    <w:p w14:paraId="09A615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本计划适用于公司人力部、运维部、研发部、质量部、采购部等所有部门的人员管理活动。</w:t>
      </w:r>
    </w:p>
    <w:p w14:paraId="6BD13EAE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4" w:name="_Toc16842"/>
      <w:r>
        <w:rPr>
          <w:rFonts w:hint="default"/>
          <w:lang w:val="en-US" w:eastAsia="zh-CN"/>
        </w:rPr>
        <w:t>2025年人员管理</w:t>
      </w:r>
      <w:r>
        <w:rPr>
          <w:rFonts w:hint="eastAsia"/>
          <w:lang w:val="en-US" w:eastAsia="zh-CN"/>
        </w:rPr>
        <w:t>主要成果</w:t>
      </w:r>
      <w:bookmarkEnd w:id="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35"/>
        <w:gridCol w:w="4531"/>
        <w:gridCol w:w="1529"/>
      </w:tblGrid>
      <w:tr w14:paraId="3DDCB4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86B6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1CE5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2025年达成情况</w:t>
            </w:r>
          </w:p>
        </w:tc>
        <w:tc>
          <w:tcPr>
            <w:tcW w:w="152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6E3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评价</w:t>
            </w:r>
          </w:p>
        </w:tc>
      </w:tr>
      <w:tr w14:paraId="2F157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4E815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人员招聘完成率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477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100%（6人全部到岗）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D911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5FFED2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F434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人员储备完成率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19B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100%（4人全部储备）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13EB2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285C3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FC46B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培训课程达成率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A333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100%（16项全部完成）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4B72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306408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D1BC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绩效考核合格率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D575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100%（平均93分）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E52B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超额达标</w:t>
            </w:r>
          </w:p>
        </w:tc>
      </w:tr>
      <w:tr w14:paraId="72C29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5469C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合格率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63092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100%（四个季度均为100%）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4153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超额达标</w:t>
            </w:r>
          </w:p>
        </w:tc>
      </w:tr>
      <w:tr w14:paraId="015BF7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3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B52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人员备份机制</w:t>
            </w:r>
          </w:p>
        </w:tc>
        <w:tc>
          <w:tcPr>
            <w:tcW w:w="45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8EA0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关键岗位AB岗备份</w:t>
            </w:r>
          </w:p>
        </w:tc>
        <w:tc>
          <w:tcPr>
            <w:tcW w:w="15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6566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</w:tbl>
    <w:p w14:paraId="5772F1F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5" w:name="_Toc29002"/>
      <w:r>
        <w:rPr>
          <w:rFonts w:hint="default"/>
          <w:lang w:val="en-US" w:eastAsia="zh-CN"/>
        </w:rPr>
        <w:t>2026年人员管理目标</w:t>
      </w:r>
      <w:bookmarkEnd w:id="5"/>
    </w:p>
    <w:p w14:paraId="1F28A0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稳定团队：保持核心团队稳定，关键岗位人员流失率控制在10%以内。</w:t>
      </w:r>
    </w:p>
    <w:p w14:paraId="632A0F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能力提升：通过系统性培训，提升运维工程师专业技能和服务意识。</w:t>
      </w:r>
    </w:p>
    <w:p w14:paraId="14F2D3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梯队建设：完善人才储备机制，关键岗位储备率达到100%。</w:t>
      </w:r>
    </w:p>
    <w:p w14:paraId="6A6F4D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绩效驱动：优化绩效考核体系，激励高价值贡献。</w:t>
      </w:r>
    </w:p>
    <w:p w14:paraId="1A0665C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6" w:name="_Toc4096"/>
      <w:r>
        <w:rPr>
          <w:rFonts w:hint="default"/>
          <w:lang w:val="en-US" w:eastAsia="zh-CN"/>
        </w:rPr>
        <w:t>2026年人员招聘计划</w:t>
      </w:r>
      <w:bookmarkEnd w:id="6"/>
    </w:p>
    <w:p w14:paraId="141777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根据公司2026年业务发展规划和技术研发需求，计划新增招聘3人，具体如下：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51"/>
        <w:gridCol w:w="1829"/>
        <w:gridCol w:w="1604"/>
        <w:gridCol w:w="1380"/>
        <w:gridCol w:w="1831"/>
      </w:tblGrid>
      <w:tr w14:paraId="6AC22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E7DA2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983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30D3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547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招聘人数</w:t>
            </w:r>
          </w:p>
        </w:tc>
        <w:tc>
          <w:tcPr>
            <w:tcW w:w="18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662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43822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CA0E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2026年第一季度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030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5DF0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F0F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41DE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2E45AC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BB9E2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2026年第二季度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56F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054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78F0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6785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149DB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5FE0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2026年第三季度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62B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AB7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6F8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70AE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7FB39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C1F80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2026年第四季度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306F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3CD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E76B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1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11F7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</w:tr>
      <w:tr w14:paraId="0E81D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5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03F68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1E3C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621D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4F6C3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3人</w:t>
            </w:r>
          </w:p>
        </w:tc>
        <w:tc>
          <w:tcPr>
            <w:tcW w:w="18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8A607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7AB854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招聘说明：</w:t>
      </w:r>
    </w:p>
    <w:p w14:paraId="00A846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开发工程师：为满足AIOps智能运维深化和备份恢复自动化等研发项目需求，新增1名开发工程师。</w:t>
      </w:r>
    </w:p>
    <w:p w14:paraId="01C41F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运维工程师：为支撑业务扩张、值班排班优化及运维工具应用推广，新增2名运维工程师。</w:t>
      </w:r>
    </w:p>
    <w:p w14:paraId="5EBC1A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预计招聘费用2万元。</w:t>
      </w:r>
    </w:p>
    <w:p w14:paraId="5F7D7E77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7" w:name="_Toc13101"/>
      <w:r>
        <w:rPr>
          <w:rFonts w:hint="default"/>
          <w:lang w:val="en-US" w:eastAsia="zh-CN"/>
        </w:rPr>
        <w:t>2026年人员储备计划</w:t>
      </w:r>
      <w:bookmarkEnd w:id="7"/>
    </w:p>
    <w:p w14:paraId="6B7A30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为降低关键岗位人才流失风险，保障业务连续性，2026年人员储备计划如下：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5"/>
        <w:gridCol w:w="913"/>
        <w:gridCol w:w="1340"/>
        <w:gridCol w:w="3649"/>
        <w:gridCol w:w="1295"/>
      </w:tblGrid>
      <w:tr w14:paraId="00AB0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9B4E7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储备目标岗位</w:t>
            </w:r>
          </w:p>
        </w:tc>
        <w:tc>
          <w:tcPr>
            <w:tcW w:w="9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889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储备人次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79F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储备人选来源</w:t>
            </w:r>
          </w:p>
        </w:tc>
        <w:tc>
          <w:tcPr>
            <w:tcW w:w="36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7EB3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核心培养措施</w:t>
            </w:r>
          </w:p>
        </w:tc>
        <w:tc>
          <w:tcPr>
            <w:tcW w:w="129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B1C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61793F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63DD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392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8E2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现任运维项目部长</w:t>
            </w:r>
          </w:p>
        </w:tc>
        <w:tc>
          <w:tcPr>
            <w:tcW w:w="3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A3D6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导师制：由研发部部长进行技术管理辅导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轮岗实践：短期轮岗至研发部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授权历练：独立负责部门年度规划、预算编制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C8E4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</w:tr>
      <w:tr w14:paraId="69D01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EE9D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9F4C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55E7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现任开发工程师</w:t>
            </w:r>
          </w:p>
        </w:tc>
        <w:tc>
          <w:tcPr>
            <w:tcW w:w="3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BF60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技术管理：负责技术选型评审、代码规范制定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带队任务：作为技术组长，带领小组完成AIOps模块开发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业务接触：参与客户需求调研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4926A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</w:tr>
      <w:tr w14:paraId="52EAF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273A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AA92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33A0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现任质量管理专员</w:t>
            </w:r>
          </w:p>
        </w:tc>
        <w:tc>
          <w:tcPr>
            <w:tcW w:w="36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847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导师制：由质量部部长一对一辅导</w:t>
              <w:br/>
              <w:t>2. 专项任务：独立负责内审策划与实施</w:t>
              <w:br/>
              <w:t>3. 培训学习：参加itss内审员培训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EDEF6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</w:tr>
    </w:tbl>
    <w:p w14:paraId="4B94FB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储备目标：关键岗位储备率达到100%。</w:t>
      </w:r>
    </w:p>
    <w:p w14:paraId="49DB5700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8" w:name="_Toc30435"/>
      <w:r>
        <w:rPr>
          <w:rFonts w:hint="default"/>
          <w:lang w:val="en-US" w:eastAsia="zh-CN"/>
        </w:rPr>
        <w:t>2026年人员培训计划</w:t>
      </w:r>
      <w:bookmarkEnd w:id="8"/>
    </w:p>
    <w:p w14:paraId="604F62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为提升员工专业技能和服务意识，2026年培训计划如下：</w:t>
      </w:r>
    </w:p>
    <w:tbl>
      <w:tblPr>
        <w:tblStyle w:val="20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4"/>
        <w:gridCol w:w="3359"/>
        <w:gridCol w:w="1704"/>
        <w:gridCol w:w="1417"/>
        <w:gridCol w:w="1046"/>
      </w:tblGrid>
      <w:tr w14:paraId="4A206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78" w:type="pct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F13E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973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3BF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培训主题</w:t>
            </w:r>
          </w:p>
        </w:tc>
        <w:tc>
          <w:tcPr>
            <w:tcW w:w="1001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856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主要部门</w:t>
            </w:r>
          </w:p>
        </w:tc>
        <w:tc>
          <w:tcPr>
            <w:tcW w:w="832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A1D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培训时间</w:t>
            </w:r>
          </w:p>
        </w:tc>
        <w:tc>
          <w:tcPr>
            <w:tcW w:w="614" w:type="pct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1E5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培训方式</w:t>
            </w:r>
          </w:p>
        </w:tc>
      </w:tr>
      <w:tr w14:paraId="4F467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9D8F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第一季度</w:t>
            </w: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131D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ITSS标准深化培训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B60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C06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37F3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</w:tr>
      <w:tr w14:paraId="65D95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9C40A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97975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D952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新入职员工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3EC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5C2CD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1625E1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A15E6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A21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禅道过程管理工具基础使用培训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3E68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ECD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D5F0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14C0F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9339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</w:t>
            </w: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ABE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配置管理专项培训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64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512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59A78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125D7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AEB43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712F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信息安全意识培训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72D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F868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7C0D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77436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DB6D6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BA83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客户沟通与投诉处理技巧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4E60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服务台、运维部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BBF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E901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角色扮演</w:t>
            </w:r>
          </w:p>
        </w:tc>
      </w:tr>
      <w:tr w14:paraId="3FBAF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BC007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728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DASUSM平台运维审计与安全管控培训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2085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1A3B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71A7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14B2F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871D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第三季度</w:t>
            </w: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CB9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质量数据分析方法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0ED2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质量部、运维部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626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88485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3B918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7B89C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146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应急响应实战演练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566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A9D0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1800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</w:tr>
      <w:tr w14:paraId="3572E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06389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8AF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AIOps技术培训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C70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研发部、运维部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8892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3616A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线上培训</w:t>
            </w:r>
          </w:p>
        </w:tc>
      </w:tr>
      <w:tr w14:paraId="5B8DA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EF38D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ECF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阿里云飞天企业版监控工具深度应用培训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0A4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FD7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BF37F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6EF34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423EB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第四季度</w:t>
            </w: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4CE2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团队管理与领导能力提升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F11A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部门部长、储备人员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B6B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D1D0F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</w:tr>
      <w:tr w14:paraId="55407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ADB05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DC36C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运维自动化技术分享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5F4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341C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694F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内部分享</w:t>
            </w:r>
          </w:p>
        </w:tc>
      </w:tr>
      <w:tr w14:paraId="71B15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78" w:type="pct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69C13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973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C271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年度培训总结与知识沉淀</w:t>
            </w:r>
          </w:p>
        </w:tc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645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EB00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614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EC59B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总结会</w:t>
            </w:r>
          </w:p>
        </w:tc>
      </w:tr>
    </w:tbl>
    <w:p w14:paraId="343698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培训保障机制：</w:t>
      </w:r>
    </w:p>
    <w:p w14:paraId="0EDAB9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预算支持：公司设立专项培训经费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万元，用于支付外部讲师、课程费用及认证考试费。</w:t>
      </w:r>
    </w:p>
    <w:p w14:paraId="6DB05F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效果评估：每次培训后通过问卷或考试进行评估，并要求受训员工进行内部分享，确保知识转化。</w:t>
      </w:r>
    </w:p>
    <w:p w14:paraId="6B58F3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与绩效挂钩：将培训参与度与完成情况纳入个人年度绩效考核的“能力与行为”维度。</w:t>
      </w:r>
    </w:p>
    <w:p w14:paraId="40A4B960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9" w:name="_Toc25212"/>
      <w:r>
        <w:rPr>
          <w:rFonts w:hint="default"/>
          <w:lang w:val="en-US" w:eastAsia="zh-CN"/>
        </w:rPr>
        <w:t>2026年人员绩效考核计划</w:t>
      </w:r>
      <w:bookmarkEnd w:id="9"/>
    </w:p>
    <w:p w14:paraId="02EE91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依据《人员绩效考核管理制度》每月对人员进行考核，重点考核以下内容：</w:t>
      </w:r>
    </w:p>
    <w:p w14:paraId="77BE11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3"/>
        <w:gridCol w:w="5802"/>
        <w:gridCol w:w="1210"/>
      </w:tblGrid>
      <w:tr w14:paraId="0A5AD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700A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D32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考核内容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649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</w:tr>
      <w:tr w14:paraId="7846B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B5EB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工作业绩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36BD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SLA达成情况、事件解决率、任务完成率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1C76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50%</w:t>
            </w:r>
          </w:p>
        </w:tc>
      </w:tr>
      <w:tr w14:paraId="1C9CAB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7F22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5A1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专业技能、问题解决能力、学习能力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350B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</w:tr>
      <w:tr w14:paraId="508C6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8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0626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工作态度</w:t>
            </w:r>
          </w:p>
        </w:tc>
        <w:tc>
          <w:tcPr>
            <w:tcW w:w="58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314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责任心、团队协作、服务意识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F723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</w:tr>
    </w:tbl>
    <w:p w14:paraId="398E8E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考核目标：月度绩效考核合格率≥95%，平均绩效得分≥90分。</w:t>
      </w:r>
    </w:p>
    <w:p w14:paraId="288EBA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资金投入：预计投入10万元用于年底绩效考核奖金。</w:t>
      </w:r>
      <w:bookmarkStart w:id="16" w:name="_GoBack"/>
      <w:bookmarkEnd w:id="16"/>
    </w:p>
    <w:p w14:paraId="396D2CEA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0" w:name="_Toc54"/>
      <w:r>
        <w:rPr>
          <w:rFonts w:hint="default"/>
          <w:lang w:val="en-US" w:eastAsia="zh-CN"/>
        </w:rPr>
        <w:t>2026年人员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10"/>
    </w:p>
    <w:p w14:paraId="26320E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管理制度》每季度对人员进行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，评定维度如下：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4"/>
        <w:gridCol w:w="4992"/>
        <w:gridCol w:w="1919"/>
      </w:tblGrid>
      <w:tr w14:paraId="16EC6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C2AD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A2B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评定内容</w:t>
            </w:r>
          </w:p>
        </w:tc>
        <w:tc>
          <w:tcPr>
            <w:tcW w:w="19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A00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评定方式</w:t>
            </w:r>
          </w:p>
        </w:tc>
      </w:tr>
      <w:tr w14:paraId="5A94C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347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97C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ITSS标准、运维技术、信息安全</w:t>
            </w:r>
          </w:p>
        </w:tc>
        <w:tc>
          <w:tcPr>
            <w:tcW w:w="19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4027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笔试/面试</w:t>
            </w:r>
          </w:p>
        </w:tc>
      </w:tr>
      <w:tr w14:paraId="03E8C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A132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007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故障处理能力、工具使用能力</w:t>
            </w:r>
          </w:p>
        </w:tc>
        <w:tc>
          <w:tcPr>
            <w:tcW w:w="19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9CAF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实操考核</w:t>
            </w:r>
          </w:p>
        </w:tc>
      </w:tr>
      <w:tr w14:paraId="65F71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087F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4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5B2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项目贡献、问题解决数量</w:t>
            </w:r>
          </w:p>
        </w:tc>
        <w:tc>
          <w:tcPr>
            <w:tcW w:w="19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95C0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业绩评审</w:t>
            </w:r>
          </w:p>
        </w:tc>
      </w:tr>
    </w:tbl>
    <w:p w14:paraId="700E5A96">
      <w:pPr>
        <w:pStyle w:val="29"/>
        <w:bidi w:val="0"/>
        <w:rPr>
          <w:rFonts w:hint="default"/>
          <w:lang w:val="en-US" w:eastAsia="zh-CN"/>
        </w:rPr>
      </w:pPr>
      <w:r>
        <w:t>评定目标</w:t>
      </w:r>
      <w:r>
        <w:rPr>
          <w:rFonts w:hint="default"/>
        </w:rPr>
        <w:t>：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合格率≥95%，各岗位技能等级与岗位说明书匹配</w:t>
      </w:r>
    </w:p>
    <w:p w14:paraId="5B4664DA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1" w:name="_Toc14188"/>
      <w:r>
        <w:rPr>
          <w:rFonts w:hint="default"/>
          <w:lang w:val="en-US" w:eastAsia="zh-CN"/>
        </w:rPr>
        <w:t>2026年人员备份计划</w:t>
      </w:r>
      <w:bookmarkEnd w:id="11"/>
    </w:p>
    <w:p w14:paraId="588C18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关键岗位AB岗备份安排如下：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0"/>
        <w:gridCol w:w="1664"/>
        <w:gridCol w:w="1881"/>
        <w:gridCol w:w="3210"/>
      </w:tblGrid>
      <w:tr w14:paraId="5A996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AEAB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关键岗位</w:t>
            </w:r>
          </w:p>
        </w:tc>
        <w:tc>
          <w:tcPr>
            <w:tcW w:w="16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14D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主要备份人</w:t>
            </w:r>
          </w:p>
        </w:tc>
        <w:tc>
          <w:tcPr>
            <w:tcW w:w="18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3BD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次要备份人</w:t>
            </w:r>
          </w:p>
        </w:tc>
        <w:tc>
          <w:tcPr>
            <w:tcW w:w="32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F3D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工作交接内容</w:t>
            </w:r>
          </w:p>
        </w:tc>
      </w:tr>
      <w:tr w14:paraId="77DE6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AE77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16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183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部长</w:t>
            </w:r>
          </w:p>
        </w:tc>
        <w:tc>
          <w:tcPr>
            <w:tcW w:w="18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0A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3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F67F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核心联系人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审批权限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应急指挥权限</w:t>
            </w:r>
          </w:p>
        </w:tc>
      </w:tr>
      <w:tr w14:paraId="56B23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A500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16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FD8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8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F9B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3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770E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系统架构文档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代码仓库权限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研发进度跟踪</w:t>
            </w:r>
          </w:p>
        </w:tc>
      </w:tr>
      <w:tr w14:paraId="38F18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B6C3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16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8EF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8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596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3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272A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质量数据统计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内审计划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改进跟踪</w:t>
            </w:r>
          </w:p>
        </w:tc>
      </w:tr>
      <w:tr w14:paraId="4ACF8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98D2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16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646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采购部部长</w:t>
            </w:r>
          </w:p>
        </w:tc>
        <w:tc>
          <w:tcPr>
            <w:tcW w:w="18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E02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备品备件管理员</w:t>
            </w:r>
          </w:p>
        </w:tc>
        <w:tc>
          <w:tcPr>
            <w:tcW w:w="3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F5A6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供应商联络表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采购清单</w:t>
            </w:r>
          </w:p>
        </w:tc>
      </w:tr>
    </w:tbl>
    <w:p w14:paraId="58907B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备份要求：</w:t>
      </w:r>
    </w:p>
    <w:p w14:paraId="55FBB0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备份人员需掌握所备份岗位的核心工作流程</w:t>
      </w:r>
    </w:p>
    <w:p w14:paraId="7D7BCE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</w:t>
      </w:r>
      <w:r>
        <w:rPr>
          <w:rFonts w:hint="eastAsia"/>
          <w:lang w:val="en-US" w:eastAsia="zh-CN"/>
        </w:rPr>
        <w:t>季度</w:t>
      </w:r>
      <w:r>
        <w:rPr>
          <w:rFonts w:hint="default"/>
          <w:lang w:val="en-US" w:eastAsia="zh-CN"/>
        </w:rPr>
        <w:t>组织一次备份人员交叉培训</w:t>
      </w:r>
    </w:p>
    <w:p w14:paraId="3C26B6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备份人员每年至少参与一次实际接替演练</w:t>
      </w:r>
    </w:p>
    <w:p w14:paraId="53A5D419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2" w:name="_Toc2764"/>
      <w:r>
        <w:rPr>
          <w:rFonts w:hint="default"/>
          <w:lang w:val="en-US" w:eastAsia="zh-CN"/>
        </w:rPr>
        <w:t>资源保障</w:t>
      </w:r>
      <w:bookmarkEnd w:id="12"/>
    </w:p>
    <w:p w14:paraId="49D13001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3" w:name="_Toc26390"/>
      <w:r>
        <w:rPr>
          <w:rFonts w:hint="default"/>
          <w:lang w:val="en-US" w:eastAsia="zh-CN"/>
        </w:rPr>
        <w:t>人员保障</w:t>
      </w:r>
      <w:bookmarkEnd w:id="13"/>
    </w:p>
    <w:p w14:paraId="041539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人力部配备专职招聘专员1名、培训专员1名</w:t>
      </w:r>
    </w:p>
    <w:p w14:paraId="1B442D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各部门负责人作为本部门人员管理第一责任人</w:t>
      </w:r>
    </w:p>
    <w:p w14:paraId="0F40358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4" w:name="_Toc19111"/>
      <w:r>
        <w:rPr>
          <w:rFonts w:hint="default"/>
          <w:lang w:val="en-US" w:eastAsia="zh-CN"/>
        </w:rPr>
        <w:t>经费保障</w:t>
      </w:r>
      <w:bookmarkEnd w:id="1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2283"/>
        <w:gridCol w:w="4791"/>
      </w:tblGrid>
      <w:tr w14:paraId="7F4C6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A06B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5A2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预算（万元）</w:t>
            </w:r>
          </w:p>
        </w:tc>
        <w:tc>
          <w:tcPr>
            <w:tcW w:w="47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DDF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5B1B7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41A5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427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47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1D73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招聘平台、猎头服务、招聘会</w:t>
            </w:r>
          </w:p>
        </w:tc>
      </w:tr>
      <w:tr w14:paraId="30366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D9E6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5BD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8.0</w:t>
            </w:r>
          </w:p>
        </w:tc>
        <w:tc>
          <w:tcPr>
            <w:tcW w:w="47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0911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外部培训、认证考试、内部讲师课酬</w:t>
            </w:r>
          </w:p>
        </w:tc>
      </w:tr>
      <w:tr w14:paraId="088B6E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9E62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绩效奖励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3396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10.0</w:t>
            </w:r>
          </w:p>
        </w:tc>
        <w:tc>
          <w:tcPr>
            <w:tcW w:w="47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1784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年度绩效奖金、优秀员工奖励</w:t>
            </w:r>
          </w:p>
        </w:tc>
      </w:tr>
      <w:tr w14:paraId="3D6E15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4677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2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719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20.0</w:t>
            </w:r>
          </w:p>
        </w:tc>
        <w:tc>
          <w:tcPr>
            <w:tcW w:w="47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A4E1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79D92177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5" w:name="_Toc921"/>
      <w:r>
        <w:rPr>
          <w:rFonts w:hint="default"/>
          <w:lang w:val="en-US" w:eastAsia="zh-CN"/>
        </w:rPr>
        <w:t>附件</w:t>
      </w:r>
      <w:bookmarkEnd w:id="15"/>
    </w:p>
    <w:p w14:paraId="2E673B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《2026年人员招聘计划表》</w:t>
      </w:r>
    </w:p>
    <w:p w14:paraId="766893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《2026年人员储备计划表》</w:t>
      </w:r>
    </w:p>
    <w:p w14:paraId="1FAB1B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《2026年人员培训计划表》</w:t>
      </w:r>
    </w:p>
    <w:p w14:paraId="6DE888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《2026年关键岗位备份表》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C71CA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7F723D"/>
    <w:rsid w:val="0A472A7C"/>
    <w:rsid w:val="15E433A4"/>
    <w:rsid w:val="168406E3"/>
    <w:rsid w:val="2C1300E8"/>
    <w:rsid w:val="2CD45AC9"/>
    <w:rsid w:val="2D346567"/>
    <w:rsid w:val="324E1E79"/>
    <w:rsid w:val="38877E93"/>
    <w:rsid w:val="3AE31DB9"/>
    <w:rsid w:val="3C243C4B"/>
    <w:rsid w:val="3C4B742A"/>
    <w:rsid w:val="3E8024A6"/>
    <w:rsid w:val="3F566811"/>
    <w:rsid w:val="44020FE7"/>
    <w:rsid w:val="446C5168"/>
    <w:rsid w:val="53A476F3"/>
    <w:rsid w:val="5A452720"/>
    <w:rsid w:val="5BF60D08"/>
    <w:rsid w:val="5DF41277"/>
    <w:rsid w:val="67346B89"/>
    <w:rsid w:val="6BF424E8"/>
    <w:rsid w:val="729C3F60"/>
    <w:rsid w:val="76171B4F"/>
    <w:rsid w:val="7C0C4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2344</Words>
  <Characters>2685</Characters>
  <Lines>0</Lines>
  <Paragraphs>0</Paragraphs>
  <TotalTime>2</TotalTime>
  <ScaleCrop>false</ScaleCrop>
  <LinksUpToDate>false</LinksUpToDate>
  <CharactersWithSpaces>2967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2026-05-26T14:09:27Z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