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86CFD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64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2643A7D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007"/>
      <w:r>
        <w:rPr>
          <w:rFonts w:hint="eastAsia"/>
          <w:lang w:val="en-US" w:eastAsia="zh-CN"/>
        </w:rPr>
        <w:t>服务级别管理制度</w:t>
      </w:r>
      <w:bookmarkEnd w:id="1"/>
    </w:p>
    <w:p w14:paraId="7E42367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文件编号：ZGS-06-02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FF28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258C7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B3462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BAA2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08568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5F4AC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8" w:name="_GoBack"/>
            <w:bookmarkEnd w:id="38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DAA59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1074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696C88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02AF32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21CFC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D0E6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C18DB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09E31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1125E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7E3383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33754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7809F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2840F6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C4279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36ECE9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590A3A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180E0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42486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8C060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9E4E5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C1161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72DCB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2C8E67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F2576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A2F7F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9D8AF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831A4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BBEFB1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13EBC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40C17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8E1E6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43C93C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4F39B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_Toc10642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BA2D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服务级别管理制度</w:t>
          </w:r>
          <w:r>
            <w:tab/>
          </w:r>
          <w:r>
            <w:fldChar w:fldCharType="begin"/>
          </w:r>
          <w:r>
            <w:instrText xml:space="preserve"> PAGEREF _Toc13007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4777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_Toc10668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9890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_Toc12550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55C11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_Toc11287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9476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_Toc18616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BF7F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 岗位职责</w:t>
          </w:r>
          <w:r>
            <w:tab/>
          </w:r>
          <w:r>
            <w:fldChar w:fldCharType="begin"/>
          </w:r>
          <w:r>
            <w:instrText xml:space="preserve"> PAGEREF _Toc17865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D3D49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运维部部长</w:t>
          </w:r>
          <w:r>
            <w:tab/>
          </w:r>
          <w:r>
            <w:fldChar w:fldCharType="begin"/>
          </w:r>
          <w:r>
            <w:instrText xml:space="preserve"> PAGEREF _Toc8299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0F456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项目部长</w:t>
          </w:r>
          <w:r>
            <w:tab/>
          </w:r>
          <w:r>
            <w:fldChar w:fldCharType="begin"/>
          </w:r>
          <w:r>
            <w:instrText xml:space="preserve"> PAGEREF _Toc31471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6AF5D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数据部</w:t>
          </w:r>
          <w:r>
            <w:tab/>
          </w:r>
          <w:r>
            <w:fldChar w:fldCharType="begin"/>
          </w:r>
          <w:r>
            <w:instrText xml:space="preserve"> PAGEREF _Toc19541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2EED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引用依据</w:t>
          </w:r>
          <w:r>
            <w:tab/>
          </w:r>
          <w:r>
            <w:fldChar w:fldCharType="begin"/>
          </w:r>
          <w:r>
            <w:instrText xml:space="preserve"> PAGEREF _Toc5313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C3A1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_Toc10069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3CEB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服务目录</w:t>
          </w:r>
          <w:r>
            <w:tab/>
          </w:r>
          <w:r>
            <w:fldChar w:fldCharType="begin"/>
          </w:r>
          <w:r>
            <w:instrText xml:space="preserve"> PAGEREF _Toc1789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AED1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服务级别协议</w:t>
          </w:r>
          <w:r>
            <w:tab/>
          </w:r>
          <w:r>
            <w:fldChar w:fldCharType="begin"/>
          </w:r>
          <w:r>
            <w:instrText xml:space="preserve"> PAGEREF _Toc20752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6EC9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支持合同</w:t>
          </w:r>
          <w:r>
            <w:tab/>
          </w:r>
          <w:r>
            <w:fldChar w:fldCharType="begin"/>
          </w:r>
          <w:r>
            <w:instrText xml:space="preserve"> PAGEREF _Toc27177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C111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管理内容与要求</w:t>
          </w:r>
          <w:r>
            <w:tab/>
          </w:r>
          <w:r>
            <w:fldChar w:fldCharType="begin"/>
          </w:r>
          <w:r>
            <w:instrText xml:space="preserve"> PAGEREF _Toc24981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49DE7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服务级别管理全生命周期</w:t>
          </w:r>
          <w:r>
            <w:tab/>
          </w:r>
          <w:r>
            <w:fldChar w:fldCharType="begin"/>
          </w:r>
          <w:r>
            <w:instrText xml:space="preserve"> PAGEREF _Toc30998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6D23B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4.1.1. </w:t>
          </w:r>
          <w:r>
            <w:rPr>
              <w:rFonts w:hint="eastAsia"/>
              <w:lang w:val="en-US" w:eastAsia="zh-CN"/>
            </w:rPr>
            <w:t>流程触发与启动</w:t>
          </w:r>
          <w:r>
            <w:tab/>
          </w:r>
          <w:r>
            <w:fldChar w:fldCharType="begin"/>
          </w:r>
          <w:r>
            <w:instrText xml:space="preserve"> PAGEREF _Toc10098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EA7BA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4.1.2. 服务需求管理</w:t>
          </w:r>
          <w:r>
            <w:tab/>
          </w:r>
          <w:r>
            <w:fldChar w:fldCharType="begin"/>
          </w:r>
          <w:r>
            <w:instrText xml:space="preserve"> PAGEREF _Toc13108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1DE9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服务级别协议制定</w:t>
          </w:r>
          <w:r>
            <w:tab/>
          </w:r>
          <w:r>
            <w:fldChar w:fldCharType="begin"/>
          </w:r>
          <w:r>
            <w:instrText xml:space="preserve"> PAGEREF _Toc11042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8D48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协议内容规范</w:t>
          </w:r>
          <w:r>
            <w:tab/>
          </w:r>
          <w:r>
            <w:fldChar w:fldCharType="begin"/>
          </w:r>
          <w:r>
            <w:instrText xml:space="preserve"> PAGEREF _Toc4781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3FB96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内部协同机制</w:t>
          </w:r>
          <w:r>
            <w:tab/>
          </w:r>
          <w:r>
            <w:fldChar w:fldCharType="begin"/>
          </w:r>
          <w:r>
            <w:instrText xml:space="preserve"> PAGEREF _Toc19257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414C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服务目录管理</w:t>
          </w:r>
          <w:r>
            <w:tab/>
          </w:r>
          <w:r>
            <w:fldChar w:fldCharType="begin"/>
          </w:r>
          <w:r>
            <w:instrText xml:space="preserve"> PAGEREF _Toc31864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5C980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服务目录结构</w:t>
          </w:r>
          <w:r>
            <w:tab/>
          </w:r>
          <w:r>
            <w:fldChar w:fldCharType="begin"/>
          </w:r>
          <w:r>
            <w:instrText xml:space="preserve"> PAGEREF _Toc7877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DD6A6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服务目录维护</w:t>
          </w:r>
          <w:r>
            <w:tab/>
          </w:r>
          <w:r>
            <w:fldChar w:fldCharType="begin"/>
          </w:r>
          <w:r>
            <w:instrText xml:space="preserve"> PAGEREF _Toc432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FA39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服务绩效监控</w:t>
          </w:r>
          <w:r>
            <w:tab/>
          </w:r>
          <w:r>
            <w:fldChar w:fldCharType="begin"/>
          </w:r>
          <w:r>
            <w:instrText xml:space="preserve"> PAGEREF _Toc30635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B941D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4.4.1. 监控体系建立</w:t>
          </w:r>
          <w:r>
            <w:tab/>
          </w:r>
          <w:r>
            <w:fldChar w:fldCharType="begin"/>
          </w:r>
          <w:r>
            <w:instrText xml:space="preserve"> PAGEREF _Toc1269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E6A7F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4.4.2. 服务报告管理</w:t>
          </w:r>
          <w:r>
            <w:tab/>
          </w:r>
          <w:r>
            <w:fldChar w:fldCharType="begin"/>
          </w:r>
          <w:r>
            <w:instrText xml:space="preserve"> PAGEREF _Toc27925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73215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服务评审与改进</w:t>
          </w:r>
          <w:r>
            <w:tab/>
          </w:r>
          <w:r>
            <w:fldChar w:fldCharType="begin"/>
          </w:r>
          <w:r>
            <w:instrText xml:space="preserve"> PAGEREF _Toc11181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62BA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4.5.1. 定期评审机制</w:t>
          </w:r>
          <w:r>
            <w:tab/>
          </w:r>
          <w:r>
            <w:fldChar w:fldCharType="begin"/>
          </w:r>
          <w:r>
            <w:instrText xml:space="preserve"> PAGEREF _Toc22059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4218B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4.5.2. 持续改进循环</w:t>
          </w:r>
          <w:r>
            <w:tab/>
          </w:r>
          <w:r>
            <w:fldChar w:fldCharType="begin"/>
          </w:r>
          <w:r>
            <w:instrText xml:space="preserve"> PAGEREF _Toc595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95EA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服务级别变更管理</w:t>
          </w:r>
          <w:r>
            <w:tab/>
          </w:r>
          <w:r>
            <w:fldChar w:fldCharType="begin"/>
          </w:r>
          <w:r>
            <w:instrText xml:space="preserve"> PAGEREF _Toc8102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03A2D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4.6.1. 变更触发条件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40669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4.6.2. 变更控制流程</w:t>
          </w:r>
          <w:r>
            <w:tab/>
          </w:r>
          <w:r>
            <w:fldChar w:fldCharType="begin"/>
          </w:r>
          <w:r>
            <w:instrText xml:space="preserve"> PAGEREF _Toc31498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122C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4.7. 关键绩效指标</w:t>
          </w:r>
          <w:r>
            <w:tab/>
          </w:r>
          <w:r>
            <w:fldChar w:fldCharType="begin"/>
          </w:r>
          <w:r>
            <w:instrText xml:space="preserve"> PAGEREF _Toc31339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2072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_Toc7294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AFC5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附件</w:t>
          </w:r>
          <w:r>
            <w:tab/>
          </w:r>
          <w:r>
            <w:fldChar w:fldCharType="begin"/>
          </w:r>
          <w:r>
            <w:instrText xml:space="preserve"> PAGEREF _Toc17042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55BD9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记录</w:t>
          </w:r>
          <w:r>
            <w:tab/>
          </w:r>
          <w:r>
            <w:fldChar w:fldCharType="begin"/>
          </w:r>
          <w:r>
            <w:instrText xml:space="preserve"> PAGEREF _Toc9375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36E03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9F2C35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151DC2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10668"/>
      <w:r>
        <w:rPr>
          <w:rFonts w:hint="eastAsia"/>
          <w:lang w:val="en-US" w:eastAsia="zh-CN"/>
        </w:rPr>
        <w:t>总则</w:t>
      </w:r>
      <w:bookmarkEnd w:id="2"/>
    </w:p>
    <w:p w14:paraId="74D435A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2550"/>
      <w:r>
        <w:rPr>
          <w:rFonts w:hint="default"/>
          <w:lang w:val="en-US" w:eastAsia="zh-CN"/>
        </w:rPr>
        <w:t>目的</w:t>
      </w:r>
      <w:bookmarkEnd w:id="3"/>
    </w:p>
    <w:p w14:paraId="311039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为规范公司运维服务的级别管理，通过一套固定的流程对服务绩效进行协商、监控、评价与报告，确保服务质量既符合业务需求与成本约束，又能持续提升客户满意度，并有效督促服务提供方，特制定本制度。</w:t>
      </w:r>
    </w:p>
    <w:p w14:paraId="0C095A6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1287"/>
      <w:r>
        <w:rPr>
          <w:rFonts w:hint="default"/>
          <w:lang w:val="en-US" w:eastAsia="zh-CN"/>
        </w:rPr>
        <w:t>适用范围</w:t>
      </w:r>
      <w:bookmarkEnd w:id="4"/>
    </w:p>
    <w:p w14:paraId="2FBD72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本制度适用于公司所有为客户提供的运维服务，涵盖服务级别的定义、协商、监控、评审与改进全过程。</w:t>
      </w:r>
    </w:p>
    <w:p w14:paraId="2DBFC5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8616"/>
      <w:r>
        <w:rPr>
          <w:rFonts w:hint="default"/>
          <w:lang w:val="en-US" w:eastAsia="zh-CN"/>
        </w:rPr>
        <w:t>原则</w:t>
      </w:r>
      <w:bookmarkEnd w:id="5"/>
    </w:p>
    <w:p w14:paraId="1B1134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客户导向原则：服务级别的设定必须以客户业务需求和期望为中心。</w:t>
      </w:r>
    </w:p>
    <w:p w14:paraId="3A3819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量化可控原则：服务目标应可测量、可监控、可管理。</w:t>
      </w:r>
    </w:p>
    <w:p w14:paraId="7700FE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协商一致原则：所有服务级别协议均需与客户充分沟通、协商并达成一致。</w:t>
      </w:r>
    </w:p>
    <w:p w14:paraId="0E5E15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持续改进原则：定期评审服务绩效，推动服务质量的持续提升。</w:t>
      </w:r>
    </w:p>
    <w:p w14:paraId="4963D67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7865"/>
      <w:r>
        <w:rPr>
          <w:rFonts w:hint="default"/>
          <w:lang w:val="en-US" w:eastAsia="zh-CN"/>
        </w:rPr>
        <w:t>岗位职责</w:t>
      </w:r>
      <w:bookmarkEnd w:id="6"/>
    </w:p>
    <w:p w14:paraId="48EFF71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299"/>
      <w:r>
        <w:rPr>
          <w:rFonts w:hint="eastAsia"/>
          <w:lang w:val="en-US" w:eastAsia="zh-CN"/>
        </w:rPr>
        <w:t>运维部部长</w:t>
      </w:r>
      <w:bookmarkEnd w:id="7"/>
    </w:p>
    <w:p w14:paraId="1B35BC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负责编制与更新服务目录；定义和维护服务级别管理过程；跟踪、监控和评审服务级别协议的执行情况。</w:t>
      </w:r>
    </w:p>
    <w:p w14:paraId="1F08F70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471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项目部长</w:t>
      </w:r>
      <w:bookmarkEnd w:id="8"/>
    </w:p>
    <w:p w14:paraId="6FCBB7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负责识别客户需求，与客户协商并签订《服务级别协议》；依据协议完成服务规划与部署；监测服务质量，落实改进措施；组织客户进行服务评价，并调整下一周期的协议。</w:t>
      </w:r>
    </w:p>
    <w:p w14:paraId="195BD52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9541"/>
      <w:r>
        <w:rPr>
          <w:rFonts w:hint="default"/>
          <w:lang w:val="en-US" w:eastAsia="zh-CN"/>
        </w:rPr>
        <w:t>质量部</w:t>
      </w:r>
      <w:bookmarkEnd w:id="9"/>
    </w:p>
    <w:p w14:paraId="48E4D6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负责监督本流程的执行质量，并参与服务级别目标的内部评审。</w:t>
      </w:r>
    </w:p>
    <w:p w14:paraId="42F199E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5313"/>
      <w:r>
        <w:rPr>
          <w:rFonts w:hint="default"/>
          <w:lang w:val="en-US" w:eastAsia="zh-CN"/>
        </w:rPr>
        <w:t>引用依据</w:t>
      </w:r>
      <w:bookmarkEnd w:id="10"/>
    </w:p>
    <w:p w14:paraId="0E6E3A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本制度的制定遵循并引用以下国家标准与行业规范：</w:t>
      </w:r>
    </w:p>
    <w:p w14:paraId="17E4A57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28827.1-2022 《信息技术服务 运行维护 第1部分：通用要求》</w:t>
      </w:r>
    </w:p>
    <w:p w14:paraId="65FF9EF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28827.2-2012 《信息技术服务 运行维护 第2部分：交付规范》</w:t>
      </w:r>
    </w:p>
    <w:p w14:paraId="0A4D274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28827.3-2012 《信息技术服务 运行维护 第3部分：应急响应规范》</w:t>
      </w:r>
    </w:p>
    <w:p w14:paraId="2CC0029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T/CESA 1299—2023 《信息技术服务 运行维护服务能力成熟度模型》</w:t>
      </w:r>
    </w:p>
    <w:p w14:paraId="304A870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0069"/>
      <w:r>
        <w:rPr>
          <w:rFonts w:hint="default"/>
          <w:lang w:val="en-US" w:eastAsia="zh-CN"/>
        </w:rPr>
        <w:t>定义与术语</w:t>
      </w:r>
      <w:bookmarkEnd w:id="11"/>
    </w:p>
    <w:p w14:paraId="3D87463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789"/>
      <w:r>
        <w:rPr>
          <w:rFonts w:hint="default"/>
          <w:lang w:val="en-US" w:eastAsia="zh-CN"/>
        </w:rPr>
        <w:t>服务目录</w:t>
      </w:r>
      <w:bookmarkEnd w:id="12"/>
    </w:p>
    <w:p w14:paraId="3F8EB5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服务提供方以客户语言记录的、关于所有可提供服务的概要信息文件，是协调客户期望、促进双方理解的重要沟通工具。</w:t>
      </w:r>
    </w:p>
    <w:p w14:paraId="6FFC69F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0752"/>
      <w:r>
        <w:rPr>
          <w:rFonts w:hint="default"/>
          <w:lang w:val="en-US" w:eastAsia="zh-CN"/>
        </w:rPr>
        <w:t>服务级别协议</w:t>
      </w:r>
      <w:bookmarkEnd w:id="13"/>
    </w:p>
    <w:p w14:paraId="3B81B59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服务提供方与客户就服务的质量、性能、范围等方面所达成的双方共同认可的书面协议。</w:t>
      </w:r>
    </w:p>
    <w:p w14:paraId="77C968D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7177"/>
      <w:r>
        <w:rPr>
          <w:rFonts w:hint="default"/>
          <w:lang w:val="en-US" w:eastAsia="zh-CN"/>
        </w:rPr>
        <w:t>支持合同</w:t>
      </w:r>
      <w:bookmarkEnd w:id="14"/>
    </w:p>
    <w:p w14:paraId="2BC0BA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为支撑SLA的履行，与服务提供方内部团队或第三方供应商签订的关于技术支持、资源保障等方面的协议。</w:t>
      </w:r>
    </w:p>
    <w:p w14:paraId="124CF86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4981"/>
      <w:r>
        <w:rPr>
          <w:rFonts w:hint="default"/>
          <w:lang w:val="en-US" w:eastAsia="zh-CN"/>
        </w:rPr>
        <w:t>管理内容与要求</w:t>
      </w:r>
      <w:bookmarkEnd w:id="15"/>
    </w:p>
    <w:p w14:paraId="4626C72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0998"/>
      <w:r>
        <w:rPr>
          <w:rFonts w:hint="eastAsia"/>
          <w:lang w:val="en-US" w:eastAsia="zh-CN"/>
        </w:rPr>
        <w:t>服务级别管理全生命周期</w:t>
      </w:r>
      <w:bookmarkEnd w:id="16"/>
    </w:p>
    <w:p w14:paraId="5AF8553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0098"/>
      <w:r>
        <w:rPr>
          <w:rFonts w:hint="eastAsia"/>
          <w:lang w:val="en-US" w:eastAsia="zh-CN"/>
        </w:rPr>
        <w:t>流程触发与启动</w:t>
      </w:r>
      <w:bookmarkEnd w:id="17"/>
    </w:p>
    <w:p w14:paraId="7CCA00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当出现以下情况之一时，必须启动服务级别管理流程：</w:t>
      </w:r>
    </w:p>
    <w:p w14:paraId="1CFE1B4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有新的运维服务项目被批准时。</w:t>
      </w:r>
    </w:p>
    <w:p w14:paraId="56CC9B0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现有服务发生重大变更并被批准时。</w:t>
      </w:r>
    </w:p>
    <w:p w14:paraId="68FE995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公司服务战略、运维能力或资源支持发生本质性变动，需要更新服务级别时。</w:t>
      </w:r>
    </w:p>
    <w:p w14:paraId="170549B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3108"/>
      <w:r>
        <w:rPr>
          <w:rFonts w:hint="default"/>
          <w:lang w:val="en-US" w:eastAsia="zh-CN"/>
        </w:rPr>
        <w:t>服务需求管理</w:t>
      </w:r>
      <w:bookmarkEnd w:id="18"/>
    </w:p>
    <w:p w14:paraId="2ADCFB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需求调研：采用标准化问卷、深度访谈、工作坊等多种形式，全面收集客户业务需求和服务期望</w:t>
      </w:r>
    </w:p>
    <w:p w14:paraId="54CC6B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需求分析：将客户需求转化为可量化的服务指标，建立需求优先级矩阵</w:t>
      </w:r>
    </w:p>
    <w:p w14:paraId="59D6D0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需求确认：形成《客户服务需求说明书》，经双方确认后作为SLA制定基础</w:t>
      </w:r>
    </w:p>
    <w:p w14:paraId="371B76B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1042"/>
      <w:r>
        <w:rPr>
          <w:rFonts w:hint="default"/>
          <w:lang w:val="en-US" w:eastAsia="zh-CN"/>
        </w:rPr>
        <w:t>服务级别协议制定</w:t>
      </w:r>
      <w:bookmarkEnd w:id="19"/>
    </w:p>
    <w:p w14:paraId="1829D87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4781"/>
      <w:r>
        <w:rPr>
          <w:rFonts w:hint="default"/>
          <w:lang w:val="en-US" w:eastAsia="zh-CN"/>
        </w:rPr>
        <w:t>协议内容规范</w:t>
      </w:r>
      <w:bookmarkEnd w:id="20"/>
    </w:p>
    <w:p w14:paraId="152BA9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SLA必须包含以下核心内容：</w:t>
      </w:r>
    </w:p>
    <w:p w14:paraId="39A4128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服务概述和目标业务价值</w:t>
      </w:r>
    </w:p>
    <w:p w14:paraId="4605D94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服务范围和排除范围说明</w:t>
      </w:r>
    </w:p>
    <w:p w14:paraId="3430037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服务时间安排和响应时效承诺</w:t>
      </w:r>
    </w:p>
    <w:p w14:paraId="0984EB8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关键绩效指标（KPI）及测量方法</w:t>
      </w:r>
    </w:p>
    <w:p w14:paraId="1559AA5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服务报告内容和频次要求</w:t>
      </w:r>
    </w:p>
    <w:p w14:paraId="76B28D4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双方责任和义务界定</w:t>
      </w:r>
    </w:p>
    <w:p w14:paraId="27E9912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服务费用结构和计费方式</w:t>
      </w:r>
    </w:p>
    <w:p w14:paraId="6BE1B3F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违约处理和争议解决机制</w:t>
      </w:r>
    </w:p>
    <w:p w14:paraId="7D99F37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协议变更和终止条款</w:t>
      </w:r>
    </w:p>
    <w:p w14:paraId="509DE1B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9257"/>
      <w:r>
        <w:rPr>
          <w:rFonts w:hint="default"/>
          <w:lang w:val="en-US" w:eastAsia="zh-CN"/>
        </w:rPr>
        <w:t>内部协同机制</w:t>
      </w:r>
      <w:bookmarkEnd w:id="21"/>
    </w:p>
    <w:p w14:paraId="46DD4C0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建立跨部门评审流程，确保SLA的技术可行性、财务合理性和法律合规性</w:t>
      </w:r>
    </w:p>
    <w:p w14:paraId="3A5BA6B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制定支撑合同（OLA），明确内部团队的服务承诺和责任分工</w:t>
      </w:r>
    </w:p>
    <w:p w14:paraId="4EF8AE9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与第三方供应商签订 underpinning contract，确保外部资源支持</w:t>
      </w:r>
    </w:p>
    <w:p w14:paraId="0ED0F37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31864"/>
      <w:r>
        <w:rPr>
          <w:rFonts w:hint="default"/>
          <w:lang w:val="en-US" w:eastAsia="zh-CN"/>
        </w:rPr>
        <w:t>服务目录管理</w:t>
      </w:r>
      <w:bookmarkEnd w:id="22"/>
    </w:p>
    <w:p w14:paraId="727DA83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7877"/>
      <w:r>
        <w:rPr>
          <w:rFonts w:hint="default"/>
          <w:lang w:val="en-US" w:eastAsia="zh-CN"/>
        </w:rPr>
        <w:t>服务目录结构</w:t>
      </w:r>
      <w:bookmarkEnd w:id="23"/>
    </w:p>
    <w:p w14:paraId="289668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建立分层级的服务目录体系：</w:t>
      </w:r>
    </w:p>
    <w:p w14:paraId="21AC284D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业务服务目录：以客户业务语言描述服务价值和成果</w:t>
      </w:r>
    </w:p>
    <w:p w14:paraId="20C9DCC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技术服务目录：以技术术语描述服务组件和配置项</w:t>
      </w:r>
    </w:p>
    <w:p w14:paraId="26A98269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内部服务目录：定义内部支撑服务和资源分配</w:t>
      </w:r>
    </w:p>
    <w:p w14:paraId="52E6B2F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432"/>
      <w:r>
        <w:rPr>
          <w:rFonts w:hint="default"/>
          <w:lang w:val="en-US" w:eastAsia="zh-CN"/>
        </w:rPr>
        <w:t>服务目录维护</w:t>
      </w:r>
      <w:bookmarkEnd w:id="24"/>
    </w:p>
    <w:p w14:paraId="32DE70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每季度更新服务目录，确保与实际情况一致</w:t>
      </w:r>
    </w:p>
    <w:p w14:paraId="354B40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建立服务目录变更控制流程</w:t>
      </w:r>
    </w:p>
    <w:p w14:paraId="13D1AB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定期向客户发布服务目录版本更新说明</w:t>
      </w:r>
    </w:p>
    <w:p w14:paraId="0AEA32F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0635"/>
      <w:r>
        <w:rPr>
          <w:rFonts w:hint="default"/>
          <w:lang w:val="en-US" w:eastAsia="zh-CN"/>
        </w:rPr>
        <w:t>服务绩效监控</w:t>
      </w:r>
      <w:bookmarkEnd w:id="25"/>
    </w:p>
    <w:p w14:paraId="7C233B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269"/>
      <w:r>
        <w:rPr>
          <w:rFonts w:hint="default"/>
          <w:lang w:val="en-US" w:eastAsia="zh-CN"/>
        </w:rPr>
        <w:t>监控体系建立</w:t>
      </w:r>
      <w:bookmarkEnd w:id="26"/>
    </w:p>
    <w:p w14:paraId="6529C5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设计完整的KPI监控指标体系，涵盖可用性、可靠性、响应性等维度</w:t>
      </w:r>
    </w:p>
    <w:p w14:paraId="7D4EA1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部署自动化监控工具，实现服务数据的实时采集</w:t>
      </w:r>
    </w:p>
    <w:p w14:paraId="405159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建立数据质量控制机制，确保监控数据的准确性和完整性</w:t>
      </w:r>
    </w:p>
    <w:p w14:paraId="07C3AAC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7925"/>
      <w:r>
        <w:rPr>
          <w:rFonts w:hint="default"/>
          <w:lang w:val="en-US" w:eastAsia="zh-CN"/>
        </w:rPr>
        <w:t>服务报告管理</w:t>
      </w:r>
      <w:bookmarkEnd w:id="27"/>
    </w:p>
    <w:p w14:paraId="7DEF45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报告周期：按周、月、季度生成不同深度的服务报告</w:t>
      </w:r>
    </w:p>
    <w:p w14:paraId="42944D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报告内容：包括KPI达成情况、趋势分析、重大事件回顾、改进计划等</w:t>
      </w:r>
    </w:p>
    <w:p w14:paraId="4A70FE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报告分发：确保报告及时送达相关干系人，并收集反馈意见</w:t>
      </w:r>
    </w:p>
    <w:p w14:paraId="001057A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11181"/>
      <w:r>
        <w:rPr>
          <w:rFonts w:hint="default"/>
          <w:lang w:val="en-US" w:eastAsia="zh-CN"/>
        </w:rPr>
        <w:t>服务评审与改进</w:t>
      </w:r>
      <w:bookmarkEnd w:id="28"/>
    </w:p>
    <w:p w14:paraId="2BC42C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22059"/>
      <w:r>
        <w:rPr>
          <w:rFonts w:hint="default"/>
          <w:lang w:val="en-US" w:eastAsia="zh-CN"/>
        </w:rPr>
        <w:t>定期评审机制</w:t>
      </w:r>
      <w:bookmarkEnd w:id="29"/>
    </w:p>
    <w:p w14:paraId="5D5894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季度业务评审：与客户共同回顾服务绩效，讨论业务需求变化</w:t>
      </w:r>
    </w:p>
    <w:p w14:paraId="423F04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月度运营评审：内部评估服务交付情况，分析运营问题</w:t>
      </w:r>
    </w:p>
    <w:p w14:paraId="538FDC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专项评审：针对重大事件或性能偏差进行深度分析</w:t>
      </w:r>
    </w:p>
    <w:p w14:paraId="57123B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595"/>
      <w:r>
        <w:rPr>
          <w:rFonts w:hint="default"/>
          <w:lang w:val="en-US" w:eastAsia="zh-CN"/>
        </w:rPr>
        <w:t>持续改进循环</w:t>
      </w:r>
      <w:bookmarkEnd w:id="30"/>
    </w:p>
    <w:p w14:paraId="03D952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建立系统化的改进机制：</w:t>
      </w:r>
    </w:p>
    <w:p w14:paraId="2D778F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分析服务差距的根本原因</w:t>
      </w:r>
    </w:p>
    <w:p w14:paraId="55015B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制定具体的改进措施和行动计划</w:t>
      </w:r>
    </w:p>
    <w:p w14:paraId="2304F7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跟踪改进措施的执行效果</w:t>
      </w:r>
    </w:p>
    <w:p w14:paraId="064176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将有效实践标准化并推广</w:t>
      </w:r>
    </w:p>
    <w:p w14:paraId="379C031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8102"/>
      <w:r>
        <w:rPr>
          <w:rFonts w:hint="default"/>
          <w:lang w:val="en-US" w:eastAsia="zh-CN"/>
        </w:rPr>
        <w:t>服务级别变更管理</w:t>
      </w:r>
      <w:bookmarkEnd w:id="31"/>
    </w:p>
    <w:p w14:paraId="2C7B332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13369"/>
      <w:r>
        <w:rPr>
          <w:rFonts w:hint="default"/>
          <w:lang w:val="en-US" w:eastAsia="zh-CN"/>
        </w:rPr>
        <w:t>变更触发条件</w:t>
      </w:r>
      <w:bookmarkEnd w:id="32"/>
    </w:p>
    <w:p w14:paraId="651777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客户业务需求发生重大变化</w:t>
      </w:r>
    </w:p>
    <w:p w14:paraId="70063F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服务绩效持续不达标需要调整</w:t>
      </w:r>
    </w:p>
    <w:p w14:paraId="6773E5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技术环境或服务模式发生变更</w:t>
      </w:r>
    </w:p>
    <w:p w14:paraId="38C3A5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成本结构或资源状况发生变化</w:t>
      </w:r>
    </w:p>
    <w:p w14:paraId="3F20B0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31498"/>
      <w:r>
        <w:rPr>
          <w:rFonts w:hint="default"/>
          <w:lang w:val="en-US" w:eastAsia="zh-CN"/>
        </w:rPr>
        <w:t>变更控制流程</w:t>
      </w:r>
      <w:bookmarkEnd w:id="33"/>
    </w:p>
    <w:p w14:paraId="754A73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变更请求的提交和评估</w:t>
      </w:r>
    </w:p>
    <w:p w14:paraId="17A2AF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变更影响分析和方案制定</w:t>
      </w:r>
    </w:p>
    <w:p w14:paraId="711DA0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客户沟通和协商</w:t>
      </w:r>
    </w:p>
    <w:p w14:paraId="730BE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变更实施和效果验证</w:t>
      </w:r>
    </w:p>
    <w:p w14:paraId="458D4CD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_Toc31339"/>
      <w:r>
        <w:rPr>
          <w:rFonts w:hint="default"/>
          <w:lang w:val="en-US" w:eastAsia="zh-CN"/>
        </w:rPr>
        <w:t>关键绩效指标</w:t>
      </w:r>
      <w:bookmarkEnd w:id="34"/>
    </w:p>
    <w:p w14:paraId="3E0C45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为衡量服务级别管理成效，设定以下核心考核指标：</w:t>
      </w:r>
      <w:r>
        <w:rPr>
          <w:rFonts w:hint="eastAsia"/>
          <w:lang w:val="en-US" w:eastAsia="zh-CN"/>
        </w:rPr>
        <w:t>如表4-1所示</w:t>
      </w:r>
    </w:p>
    <w:p w14:paraId="14F150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关键绩效指标表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387"/>
        <w:gridCol w:w="4089"/>
        <w:gridCol w:w="1107"/>
        <w:gridCol w:w="1094"/>
      </w:tblGrid>
      <w:tr w14:paraId="1002B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257234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387" w:type="dxa"/>
          </w:tcPr>
          <w:p w14:paraId="062C9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4089" w:type="dxa"/>
          </w:tcPr>
          <w:p w14:paraId="62D38F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48B8EB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241CF6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69865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231D78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7" w:type="dxa"/>
          </w:tcPr>
          <w:p w14:paraId="14FBB6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4089" w:type="dxa"/>
          </w:tcPr>
          <w:p w14:paraId="26D5F4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sz w:val="21"/>
                <w:szCs w:val="21"/>
              </w:rPr>
              <w:t>(满足服务级别的事件数/事件总数)*100%</w:t>
            </w:r>
          </w:p>
        </w:tc>
        <w:tc>
          <w:tcPr>
            <w:tcW w:w="1107" w:type="dxa"/>
          </w:tcPr>
          <w:p w14:paraId="5F97C7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5B8157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791E4F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</w:p>
    <w:p w14:paraId="2FAB59A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Toc7294"/>
      <w:r>
        <w:rPr>
          <w:rFonts w:hint="default"/>
          <w:lang w:val="en-US" w:eastAsia="zh-CN"/>
        </w:rPr>
        <w:t>附则</w:t>
      </w:r>
      <w:bookmarkEnd w:id="35"/>
    </w:p>
    <w:p w14:paraId="695987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本制度最终解释权和修订权归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。</w:t>
      </w:r>
    </w:p>
    <w:p w14:paraId="131669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本制度自颁布之日起施行。</w:t>
      </w:r>
    </w:p>
    <w:p w14:paraId="717A8ED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17042"/>
      <w:r>
        <w:rPr>
          <w:rFonts w:hint="default"/>
          <w:lang w:val="en-US" w:eastAsia="zh-CN"/>
        </w:rPr>
        <w:t>附件</w:t>
      </w:r>
      <w:bookmarkEnd w:id="36"/>
    </w:p>
    <w:p w14:paraId="4A23DCA4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《服务级别协议（模板）》</w:t>
      </w:r>
    </w:p>
    <w:p w14:paraId="1FC70746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《服务级别管理监控记录表》</w:t>
      </w:r>
    </w:p>
    <w:p w14:paraId="17F6ABE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《服务级别评审表》</w:t>
      </w:r>
    </w:p>
    <w:p w14:paraId="699DDD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7" w:name="_Toc9375"/>
      <w:r>
        <w:rPr>
          <w:rFonts w:hint="default"/>
          <w:lang w:val="en-US" w:eastAsia="zh-CN"/>
        </w:rPr>
        <w:t>记录</w:t>
      </w:r>
      <w:bookmarkEnd w:id="37"/>
    </w:p>
    <w:p w14:paraId="0322DFA9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《服务报告》</w:t>
      </w:r>
    </w:p>
    <w:p w14:paraId="6FA1045E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《服务级别评审会议纪要》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15222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55C7C76"/>
    <w:multiLevelType w:val="singleLevel"/>
    <w:tmpl w:val="B55C7C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8A226E6"/>
    <w:multiLevelType w:val="singleLevel"/>
    <w:tmpl w:val="D8A226E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ACBFE8F"/>
    <w:multiLevelType w:val="singleLevel"/>
    <w:tmpl w:val="1ACBFE8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FDF9281"/>
    <w:multiLevelType w:val="singleLevel"/>
    <w:tmpl w:val="1FDF928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70987C9"/>
    <w:multiLevelType w:val="singleLevel"/>
    <w:tmpl w:val="370987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477A7C3"/>
    <w:multiLevelType w:val="singleLevel"/>
    <w:tmpl w:val="6477A7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4"/>
  </w:num>
  <w:num w:numId="5">
    <w:abstractNumId w:val="3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3276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2255</Words>
  <Characters>2538</Characters>
  <Lines>0</Lines>
  <Paragraphs>0</Paragraphs>
  <TotalTime>0</TotalTime>
  <ScaleCrop>false</ScaleCrop>
  <LinksUpToDate>false</LinksUpToDate>
  <CharactersWithSpaces>2629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