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6D735E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327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58F8A0D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5193"/>
      <w:r>
        <w:rPr>
          <w:rFonts w:hint="eastAsia"/>
          <w:lang w:val="en-US" w:eastAsia="zh-CN"/>
        </w:rPr>
        <w:t>服务报告管理制度</w:t>
      </w:r>
      <w:bookmarkEnd w:id="1"/>
    </w:p>
    <w:p w14:paraId="41543EC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文件编号：ZGS-06-03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839C6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2432" w:type="dxa"/>
          </w:tcPr>
          <w:p w14:paraId="0A636E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61587A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F9F3E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D7ADB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B88C1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42" w:name="_GoBack"/>
            <w:bookmarkEnd w:id="4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95636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CDD26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2B10A6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FD0E93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E913CC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0D260AF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33191D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A9B7B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06848A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6655E8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D75BC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2FD8D2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61B38E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071EE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71ADB3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562FF0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1D00211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BF527D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31E887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4834419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5A53C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BF0A2B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14170B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C7BF83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CB4C15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985B9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2772864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CD8061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9B61AC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F2AC4C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EAAE5D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40CDE1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FD91FA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_Toc23278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4B2A5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_Toc15193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服务报告管理制度</w:t>
          </w:r>
          <w:r>
            <w:tab/>
          </w:r>
          <w:r>
            <w:fldChar w:fldCharType="begin"/>
          </w:r>
          <w:r>
            <w:instrText xml:space="preserve"> PAGEREF _Toc15193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84AFC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_Toc134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A2C10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_Toc18465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rPr>
              <w:rFonts w:hint="eastAsia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_Toc18465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E4AD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_Toc3231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5CC6C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rPr>
              <w:rFonts w:hint="eastAsia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_Toc2855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2F39E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_Toc4533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 </w:t>
          </w:r>
          <w:r>
            <w:rPr>
              <w:rFonts w:hint="eastAsia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_Toc4533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BF546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运维项目部长</w:t>
          </w:r>
          <w:r>
            <w:tab/>
          </w:r>
          <w:r>
            <w:fldChar w:fldCharType="begin"/>
          </w:r>
          <w:r>
            <w:instrText xml:space="preserve"> PAGEREF _Toc1294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EA370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_Toc11691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1.4.2. </w:t>
          </w:r>
          <w:r>
            <w:rPr>
              <w:rFonts w:hint="eastAsia"/>
            </w:rPr>
            <w:t>运维部部长</w:t>
          </w:r>
          <w:r>
            <w:tab/>
          </w:r>
          <w:r>
            <w:fldChar w:fldCharType="begin"/>
          </w:r>
          <w:r>
            <w:instrText xml:space="preserve"> PAGEREF _Toc11691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F55D3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1.4.3. </w:t>
          </w:r>
          <w:r>
            <w:rPr>
              <w:rFonts w:hint="eastAsia"/>
              <w:lang w:val="en-US" w:eastAsia="zh-CN"/>
            </w:rPr>
            <w:t>运维工程师</w:t>
          </w:r>
          <w:r>
            <w:tab/>
          </w:r>
          <w:r>
            <w:fldChar w:fldCharType="begin"/>
          </w:r>
          <w:r>
            <w:instrText xml:space="preserve"> PAGEREF _Toc9414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D289A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_Toc16844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_Toc16844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4CD9B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_Toc9258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_Toc9258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89055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_Toc20336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服务报告</w:t>
          </w:r>
          <w:r>
            <w:tab/>
          </w:r>
          <w:r>
            <w:fldChar w:fldCharType="begin"/>
          </w:r>
          <w:r>
            <w:instrText xml:space="preserve"> PAGEREF _Toc20336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0E1E6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被动服务报告</w:t>
          </w:r>
          <w:r>
            <w:tab/>
          </w:r>
          <w:r>
            <w:fldChar w:fldCharType="begin"/>
          </w:r>
          <w:r>
            <w:instrText xml:space="preserve"> PAGEREF _Toc6767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F66F6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主动服务报告</w:t>
          </w:r>
          <w:r>
            <w:tab/>
          </w:r>
          <w:r>
            <w:fldChar w:fldCharType="begin"/>
          </w:r>
          <w:r>
            <w:instrText xml:space="preserve"> PAGEREF _Toc18228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4C4A8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_Toc31502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进展服务报告</w:t>
          </w:r>
          <w:r>
            <w:tab/>
          </w:r>
          <w:r>
            <w:fldChar w:fldCharType="begin"/>
          </w:r>
          <w:r>
            <w:instrText xml:space="preserve"> PAGEREF _Toc31502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91DE1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_Toc18099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_Toc18099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3DD1E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</w:rPr>
            <w:t>服务报告全生命周期管理</w:t>
          </w:r>
          <w:r>
            <w:tab/>
          </w:r>
          <w:r>
            <w:fldChar w:fldCharType="begin"/>
          </w:r>
          <w:r>
            <w:instrText xml:space="preserve"> PAGEREF _Toc11546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9902D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_Toc24849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4.1.1. </w:t>
          </w:r>
          <w:r>
            <w:rPr>
              <w:rFonts w:hint="eastAsia"/>
            </w:rPr>
            <w:t>报告策划与定义</w:t>
          </w:r>
          <w:r>
            <w:tab/>
          </w:r>
          <w:r>
            <w:fldChar w:fldCharType="begin"/>
          </w:r>
          <w:r>
            <w:instrText xml:space="preserve"> PAGEREF _Toc24849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6627E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4.1.2. </w:t>
          </w:r>
          <w:r>
            <w:rPr>
              <w:rFonts w:hint="eastAsia"/>
            </w:rPr>
            <w:t>报告计划制定</w:t>
          </w:r>
          <w:r>
            <w:tab/>
          </w:r>
          <w:r>
            <w:fldChar w:fldCharType="begin"/>
          </w:r>
          <w:r>
            <w:instrText xml:space="preserve"> PAGEREF _Toc1564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4473C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_Toc12508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rPr>
              <w:rFonts w:hint="eastAsia"/>
            </w:rPr>
            <w:t>报告类型与内容规范</w:t>
          </w:r>
          <w:r>
            <w:tab/>
          </w:r>
          <w:r>
            <w:fldChar w:fldCharType="begin"/>
          </w:r>
          <w:r>
            <w:instrText xml:space="preserve"> PAGEREF _Toc12508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E4828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4.2.1. </w:t>
          </w:r>
          <w:r>
            <w:rPr>
              <w:rFonts w:hint="eastAsia"/>
            </w:rPr>
            <w:t>报告分类体系</w:t>
          </w:r>
          <w:r>
            <w:tab/>
          </w:r>
          <w:r>
            <w:fldChar w:fldCharType="begin"/>
          </w:r>
          <w:r>
            <w:instrText xml:space="preserve"> PAGEREF _Toc3302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8C4B7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4.2.2. </w:t>
          </w:r>
          <w:r>
            <w:rPr>
              <w:rFonts w:hint="eastAsia"/>
            </w:rPr>
            <w:t>报告内容标准</w:t>
          </w:r>
          <w:r>
            <w:tab/>
          </w:r>
          <w:r>
            <w:fldChar w:fldCharType="begin"/>
          </w:r>
          <w:r>
            <w:instrText xml:space="preserve"> PAGEREF _Toc9751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EF073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rPr>
              <w:rFonts w:hint="eastAsia"/>
            </w:rPr>
            <w:t>数据质量管理</w:t>
          </w:r>
          <w:r>
            <w:tab/>
          </w:r>
          <w:r>
            <w:fldChar w:fldCharType="begin"/>
          </w:r>
          <w:r>
            <w:instrText xml:space="preserve"> PAGEREF _Toc19463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5935E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_Toc22882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4.3.1. </w:t>
          </w:r>
          <w:r>
            <w:rPr>
              <w:rFonts w:hint="eastAsia"/>
            </w:rPr>
            <w:t>数据采集规范</w:t>
          </w:r>
          <w:r>
            <w:tab/>
          </w:r>
          <w:r>
            <w:fldChar w:fldCharType="begin"/>
          </w:r>
          <w:r>
            <w:instrText xml:space="preserve"> PAGEREF _Toc22882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EC03C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4.3.2. </w:t>
          </w:r>
          <w:r>
            <w:rPr>
              <w:rFonts w:hint="eastAsia"/>
            </w:rPr>
            <w:t>数据质量控制</w:t>
          </w:r>
          <w:r>
            <w:tab/>
          </w:r>
          <w:r>
            <w:fldChar w:fldCharType="begin"/>
          </w:r>
          <w:r>
            <w:instrText xml:space="preserve"> PAGEREF _Toc30908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548A2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rPr>
              <w:rFonts w:hint="eastAsia"/>
            </w:rPr>
            <w:t>报告生成与评审</w:t>
          </w:r>
          <w:r>
            <w:tab/>
          </w:r>
          <w:r>
            <w:fldChar w:fldCharType="begin"/>
          </w:r>
          <w:r>
            <w:instrText xml:space="preserve"> PAGEREF _Toc13726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A7A73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4.4.1. </w:t>
          </w:r>
          <w:r>
            <w:rPr>
              <w:rFonts w:hint="eastAsia"/>
            </w:rPr>
            <w:t>报告生成流程</w:t>
          </w:r>
          <w:r>
            <w:tab/>
          </w:r>
          <w:r>
            <w:fldChar w:fldCharType="begin"/>
          </w:r>
          <w:r>
            <w:instrText xml:space="preserve"> PAGEREF _Toc6806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10EF1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_Toc4996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4.4.2. </w:t>
          </w:r>
          <w:r>
            <w:rPr>
              <w:rFonts w:hint="eastAsia"/>
            </w:rPr>
            <w:t>多级评审机制</w:t>
          </w:r>
          <w:r>
            <w:tab/>
          </w:r>
          <w:r>
            <w:fldChar w:fldCharType="begin"/>
          </w:r>
          <w:r>
            <w:instrText xml:space="preserve"> PAGEREF _Toc4996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CC5CC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rPr>
              <w:rFonts w:hint="eastAsia"/>
            </w:rPr>
            <w:t>报告分发与使用</w:t>
          </w:r>
          <w:r>
            <w:tab/>
          </w:r>
          <w:r>
            <w:fldChar w:fldCharType="begin"/>
          </w:r>
          <w:r>
            <w:instrText xml:space="preserve"> PAGEREF _Toc303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2AAC7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4.5.1. </w:t>
          </w:r>
          <w:r>
            <w:rPr>
              <w:rFonts w:hint="eastAsia"/>
            </w:rPr>
            <w:t>分发管理</w:t>
          </w:r>
          <w:r>
            <w:tab/>
          </w:r>
          <w:r>
            <w:fldChar w:fldCharType="begin"/>
          </w:r>
          <w:r>
            <w:instrText xml:space="preserve"> PAGEREF _Toc32505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BE3E4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4.5.2. </w:t>
          </w:r>
          <w:r>
            <w:rPr>
              <w:rFonts w:hint="eastAsia"/>
            </w:rPr>
            <w:t>效果评估</w:t>
          </w:r>
          <w:r>
            <w:tab/>
          </w:r>
          <w:r>
            <w:fldChar w:fldCharType="begin"/>
          </w:r>
          <w:r>
            <w:instrText xml:space="preserve"> PAGEREF _Toc164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F51E4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_Toc23610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rPr>
              <w:rFonts w:hint="eastAsia"/>
            </w:rPr>
            <w:t>报告归档与知识管理</w:t>
          </w:r>
          <w:r>
            <w:tab/>
          </w:r>
          <w:r>
            <w:fldChar w:fldCharType="begin"/>
          </w:r>
          <w:r>
            <w:instrText xml:space="preserve"> PAGEREF _Toc23610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88948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4.6.1. </w:t>
          </w:r>
          <w:r>
            <w:rPr>
              <w:rFonts w:hint="eastAsia"/>
            </w:rPr>
            <w:t>归档管理</w:t>
          </w:r>
          <w:r>
            <w:tab/>
          </w:r>
          <w:r>
            <w:fldChar w:fldCharType="begin"/>
          </w:r>
          <w:r>
            <w:instrText xml:space="preserve"> PAGEREF _Toc29351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C5EBA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_Toc4868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4.6.2. </w:t>
          </w:r>
          <w:r>
            <w:rPr>
              <w:rFonts w:hint="eastAsia"/>
            </w:rPr>
            <w:t>知识转化</w:t>
          </w:r>
          <w:r>
            <w:tab/>
          </w:r>
          <w:r>
            <w:fldChar w:fldCharType="begin"/>
          </w:r>
          <w:r>
            <w:instrText xml:space="preserve"> PAGEREF _Toc4868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D969D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4.7. </w:t>
          </w:r>
          <w:r>
            <w:rPr>
              <w:rFonts w:hint="eastAsia"/>
            </w:rPr>
            <w:t>关键控制点与测量指标</w:t>
          </w:r>
          <w:r>
            <w:tab/>
          </w:r>
          <w:r>
            <w:fldChar w:fldCharType="begin"/>
          </w:r>
          <w:r>
            <w:instrText xml:space="preserve"> PAGEREF _Toc10604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C148A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_Toc22635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55FF9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_Toc10943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1A625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_Toc13309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545D5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694C45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B6B28D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134"/>
      <w:r>
        <w:rPr>
          <w:rFonts w:hint="eastAsia"/>
          <w:lang w:val="en-US" w:eastAsia="zh-CN"/>
        </w:rPr>
        <w:t>总则</w:t>
      </w:r>
      <w:bookmarkEnd w:id="2"/>
    </w:p>
    <w:p w14:paraId="36ACB07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3" w:name="_Toc18465"/>
      <w:r>
        <w:rPr>
          <w:rFonts w:hint="eastAsia"/>
        </w:rPr>
        <w:t>目的</w:t>
      </w:r>
      <w:bookmarkEnd w:id="3"/>
    </w:p>
    <w:p w14:paraId="19A6FC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为规范公司运维服务报告的编制、评审、提交与归档过程，确保报告内容可靠、准确，能够有效反映服务级别协议的达成情况，支持管理层决策，并驱动服务的持续改进，特制定本制度。</w:t>
      </w:r>
    </w:p>
    <w:p w14:paraId="518EEC2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4" w:name="_Toc3231"/>
      <w:r>
        <w:rPr>
          <w:rFonts w:hint="eastAsia"/>
        </w:rPr>
        <w:t>适用范围</w:t>
      </w:r>
      <w:bookmarkEnd w:id="4"/>
    </w:p>
    <w:p w14:paraId="387193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本制度适用于运维部为满足客户及内部管理需求，而进行的服务报告策划、生成与分发的全过程。</w:t>
      </w:r>
    </w:p>
    <w:p w14:paraId="114E292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5" w:name="_Toc2855"/>
      <w:r>
        <w:rPr>
          <w:rFonts w:hint="eastAsia"/>
        </w:rPr>
        <w:t>原则</w:t>
      </w:r>
      <w:bookmarkEnd w:id="5"/>
    </w:p>
    <w:p w14:paraId="242FBFC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准确性原则：报告数据必须真实、准确，分析结论应基于客观事实。</w:t>
      </w:r>
    </w:p>
    <w:p w14:paraId="73BFDB6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及时性原则：报告应按计划的时间周期准时生成与提交。</w:t>
      </w:r>
    </w:p>
    <w:p w14:paraId="411DC7D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相关性原则：报告内容应聚焦于关键服务指标，满足不同受众的决策需求。</w:t>
      </w:r>
    </w:p>
    <w:p w14:paraId="4F0F904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持续改进原则：报告应能揭示服务差距，为制定纠正与预防措施提供输入。</w:t>
      </w:r>
    </w:p>
    <w:p w14:paraId="2CEDC5A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6" w:name="_Toc4533"/>
      <w:r>
        <w:rPr>
          <w:rFonts w:hint="eastAsia"/>
        </w:rPr>
        <w:t>岗位职责</w:t>
      </w:r>
      <w:bookmarkEnd w:id="6"/>
    </w:p>
    <w:p w14:paraId="70F5D4D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" w:name="_Toc1294"/>
      <w:r>
        <w:rPr>
          <w:rFonts w:hint="eastAsia"/>
          <w:lang w:val="en-US" w:eastAsia="zh-CN"/>
        </w:rPr>
        <w:t>运维项目部长</w:t>
      </w:r>
      <w:bookmarkEnd w:id="7"/>
    </w:p>
    <w:p w14:paraId="07003F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负责识别报告需求、定义报告类型、编写《服务报告计划》、收集分析数据、编制《服务报告》，并推动报告分发与归档。</w:t>
      </w:r>
    </w:p>
    <w:p w14:paraId="7C33F28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8" w:name="_Toc11691"/>
      <w:r>
        <w:rPr>
          <w:rFonts w:hint="eastAsia"/>
        </w:rPr>
        <w:t>运维部部长</w:t>
      </w:r>
      <w:bookmarkEnd w:id="8"/>
    </w:p>
    <w:p w14:paraId="2B3EEA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负责审核并批准《服务报告计划》与《服务报告》，监督本制度的执行情况。</w:t>
      </w:r>
    </w:p>
    <w:p w14:paraId="581ED6A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9414"/>
      <w:r>
        <w:rPr>
          <w:rFonts w:hint="eastAsia"/>
          <w:lang w:val="en-US" w:eastAsia="zh-CN"/>
        </w:rPr>
        <w:t>运维工程师</w:t>
      </w:r>
      <w:bookmarkEnd w:id="9"/>
    </w:p>
    <w:p w14:paraId="46C5D3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负责</w:t>
      </w:r>
      <w:r>
        <w:rPr>
          <w:rFonts w:hint="eastAsia"/>
          <w:lang w:val="en-US" w:eastAsia="zh-CN"/>
        </w:rPr>
        <w:t>提供准</w:t>
      </w:r>
      <w:r>
        <w:rPr>
          <w:rFonts w:hint="eastAsia"/>
        </w:rPr>
        <w:t>确、及时的基础流程数据，支持服务报告的编制。</w:t>
      </w:r>
    </w:p>
    <w:p w14:paraId="37620E2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0" w:name="_Toc16844"/>
      <w:r>
        <w:rPr>
          <w:rFonts w:hint="eastAsia"/>
        </w:rPr>
        <w:t>引用依据</w:t>
      </w:r>
      <w:bookmarkEnd w:id="10"/>
    </w:p>
    <w:p w14:paraId="70144B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本制度的制定遵循并引用以下国家标准与行业规范：</w:t>
      </w:r>
    </w:p>
    <w:p w14:paraId="4A367DFF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GB/T 28827.1-2022 《信息技术服务 运行维护 第1部分：通用要求》</w:t>
      </w:r>
    </w:p>
    <w:p w14:paraId="6F73628B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GB/T 28827.2-2012 《信息技术服务 运行维护 第2部分：交付规范》</w:t>
      </w:r>
    </w:p>
    <w:p w14:paraId="1475955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GB/T 28827.3-2012 《信息技术服务 运行维护 第3部分：应急响应规范》</w:t>
      </w:r>
    </w:p>
    <w:p w14:paraId="0F700BA7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T/CESA 1299—2023 《信息技术服务 运行维护服务能力成熟度模型》</w:t>
      </w:r>
    </w:p>
    <w:p w14:paraId="06F052F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1" w:name="_Toc9258"/>
      <w:r>
        <w:rPr>
          <w:rFonts w:hint="eastAsia"/>
        </w:rPr>
        <w:t>定义与术语</w:t>
      </w:r>
      <w:bookmarkEnd w:id="11"/>
    </w:p>
    <w:p w14:paraId="2E5886A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2" w:name="_Toc20336"/>
      <w:r>
        <w:rPr>
          <w:rFonts w:hint="eastAsia"/>
        </w:rPr>
        <w:t>服务报告</w:t>
      </w:r>
      <w:bookmarkEnd w:id="12"/>
    </w:p>
    <w:p w14:paraId="4002F4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基于服务数据，对服务绩效进行分析和总结的正式文件，用于向客户和管理层沟通服务现状、趋势和改进措施。</w:t>
      </w:r>
    </w:p>
    <w:p w14:paraId="5F2D052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3" w:name="_Toc6767"/>
      <w:r>
        <w:rPr>
          <w:rFonts w:hint="eastAsia"/>
        </w:rPr>
        <w:t>被动服务报告</w:t>
      </w:r>
      <w:bookmarkEnd w:id="13"/>
    </w:p>
    <w:p w14:paraId="0B5252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主要报告已经发生的服务绩效，包括与SLA目标的对比、不符合项、工作量特性及重大事件回顾等。</w:t>
      </w:r>
    </w:p>
    <w:p w14:paraId="4C5B323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4" w:name="_Toc18228"/>
      <w:r>
        <w:rPr>
          <w:rFonts w:hint="eastAsia"/>
        </w:rPr>
        <w:t>主动服务报告</w:t>
      </w:r>
      <w:bookmarkEnd w:id="14"/>
    </w:p>
    <w:p w14:paraId="4525A1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侧重于趋势分析和预警，预测潜在的服务风险或SLA违规，以支持预防性措施的制定。</w:t>
      </w:r>
    </w:p>
    <w:p w14:paraId="725EF38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5" w:name="_Toc31502"/>
      <w:r>
        <w:rPr>
          <w:rFonts w:hint="eastAsia"/>
        </w:rPr>
        <w:t>进展服务报告</w:t>
      </w:r>
      <w:bookmarkEnd w:id="15"/>
    </w:p>
    <w:p w14:paraId="4F6DEA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主要报告未来计划，包括工作量预测、变更计划及可能发生的事件预告。</w:t>
      </w:r>
    </w:p>
    <w:p w14:paraId="330391A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6" w:name="_Toc18099"/>
      <w:r>
        <w:rPr>
          <w:rFonts w:hint="eastAsia"/>
        </w:rPr>
        <w:t>管理内容与要求</w:t>
      </w:r>
      <w:bookmarkEnd w:id="16"/>
    </w:p>
    <w:p w14:paraId="701FF4B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7" w:name="_Toc11546"/>
      <w:r>
        <w:rPr>
          <w:rFonts w:hint="eastAsia"/>
        </w:rPr>
        <w:t>服务报告全生命周期管理</w:t>
      </w:r>
      <w:bookmarkEnd w:id="17"/>
    </w:p>
    <w:p w14:paraId="34CD534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8" w:name="_Toc24849"/>
      <w:r>
        <w:rPr>
          <w:rFonts w:hint="eastAsia"/>
        </w:rPr>
        <w:t>报告策划与定义</w:t>
      </w:r>
      <w:bookmarkEnd w:id="18"/>
    </w:p>
    <w:p w14:paraId="324F85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建立系统化的报告策划机制，确保服务报告的有效性和针对性：</w:t>
      </w:r>
    </w:p>
    <w:p w14:paraId="2F028A0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需求分析：运维项目部长应定期（至少每半年一次）与客户及内部管理层沟通，识别报告需求变化，更新《服务报告需求清单》</w:t>
      </w:r>
    </w:p>
    <w:p w14:paraId="664DB2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受众分析：针对不同受众（如客户管理层、业务部门、技术团队）定义差异化的报告内容和呈现形式</w:t>
      </w:r>
    </w:p>
    <w:p w14:paraId="03110B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指标定义：基于服务级别协议（SLA）和运营级别协议（OLA），明确报告中需要包含的核心指标及其计算方式</w:t>
      </w:r>
    </w:p>
    <w:p w14:paraId="3418B59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9" w:name="_Toc1564"/>
      <w:r>
        <w:rPr>
          <w:rFonts w:hint="eastAsia"/>
        </w:rPr>
        <w:t>报告计划制定</w:t>
      </w:r>
      <w:bookmarkEnd w:id="19"/>
    </w:p>
    <w:p w14:paraId="2730E3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报告矩阵：建立服务报告矩阵，明确各类报告的频次、提交时间、责任人和受众</w:t>
      </w:r>
    </w:p>
    <w:p w14:paraId="5D1DB0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计划审批：《服务报告计划》需经运维部部长审核批准，重大变更需重新评审</w:t>
      </w:r>
    </w:p>
    <w:p w14:paraId="32C877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计划发布：批准后的报告计划应在相关方间共享，确保各方预期一致</w:t>
      </w:r>
    </w:p>
    <w:p w14:paraId="75A2490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20" w:name="_Toc12508"/>
      <w:r>
        <w:rPr>
          <w:rFonts w:hint="eastAsia"/>
        </w:rPr>
        <w:t>报告类型与内容规范</w:t>
      </w:r>
      <w:bookmarkEnd w:id="20"/>
    </w:p>
    <w:p w14:paraId="7D695BB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21" w:name="_Toc3302"/>
      <w:r>
        <w:rPr>
          <w:rFonts w:hint="eastAsia"/>
        </w:rPr>
        <w:t>报告分类体系</w:t>
      </w:r>
      <w:bookmarkEnd w:id="21"/>
    </w:p>
    <w:p w14:paraId="542D33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</w:rPr>
        <w:t>建立完整的报告分类体系，满足不同管理需求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服务报告分类体系如表4-1所示。</w:t>
      </w:r>
    </w:p>
    <w:p w14:paraId="714BE23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STYLEREF "柴_标题1" \n \* Charformat</w:instrText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SEQ 表 \* ARABIC  \s 1</w:instrText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服务报告分类体系表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17B17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D29377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right="0" w:right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报告类型</w:t>
            </w:r>
          </w:p>
        </w:tc>
        <w:tc>
          <w:tcPr>
            <w:tcW w:w="2841" w:type="dxa"/>
          </w:tcPr>
          <w:p w14:paraId="460B886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right="0" w:right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核心内容</w:t>
            </w:r>
          </w:p>
        </w:tc>
        <w:tc>
          <w:tcPr>
            <w:tcW w:w="2841" w:type="dxa"/>
          </w:tcPr>
          <w:p w14:paraId="6633DA8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right="0" w:right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提交频次</w:t>
            </w:r>
          </w:p>
        </w:tc>
      </w:tr>
      <w:tr w14:paraId="582F3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2C44D9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right="0" w:right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运维绩效报告</w:t>
            </w:r>
          </w:p>
        </w:tc>
        <w:tc>
          <w:tcPr>
            <w:tcW w:w="2841" w:type="dxa"/>
          </w:tcPr>
          <w:p w14:paraId="27FA41A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right="0" w:right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SLA达成率情况</w:t>
            </w:r>
          </w:p>
        </w:tc>
        <w:tc>
          <w:tcPr>
            <w:tcW w:w="2841" w:type="dxa"/>
          </w:tcPr>
          <w:p w14:paraId="1BC4C18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right="0" w:right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</w:tr>
      <w:tr w14:paraId="682F1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ADF4E6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right="0" w:right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服务质量报告</w:t>
            </w:r>
          </w:p>
        </w:tc>
        <w:tc>
          <w:tcPr>
            <w:tcW w:w="2841" w:type="dxa"/>
          </w:tcPr>
          <w:p w14:paraId="429C503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right="0" w:right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可用性、连续性、容量报告</w:t>
            </w:r>
          </w:p>
        </w:tc>
        <w:tc>
          <w:tcPr>
            <w:tcW w:w="2841" w:type="dxa"/>
          </w:tcPr>
          <w:p w14:paraId="10E12C8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right="0" w:right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</w:tr>
      <w:tr w14:paraId="71085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7F3A7D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right="0" w:right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风险预警报告</w:t>
            </w:r>
          </w:p>
        </w:tc>
        <w:tc>
          <w:tcPr>
            <w:tcW w:w="2841" w:type="dxa"/>
          </w:tcPr>
          <w:p w14:paraId="4CFA1AE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right="0" w:right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趋势分析、风险识别</w:t>
            </w:r>
          </w:p>
        </w:tc>
        <w:tc>
          <w:tcPr>
            <w:tcW w:w="2841" w:type="dxa"/>
          </w:tcPr>
          <w:p w14:paraId="6478C62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right="0" w:right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</w:tr>
      <w:tr w14:paraId="0F09B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69704A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right="0" w:right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改进进展报告</w:t>
            </w:r>
          </w:p>
        </w:tc>
        <w:tc>
          <w:tcPr>
            <w:tcW w:w="2841" w:type="dxa"/>
          </w:tcPr>
          <w:p w14:paraId="4DE8F72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right="0" w:right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改进措施执行情况</w:t>
            </w:r>
          </w:p>
        </w:tc>
        <w:tc>
          <w:tcPr>
            <w:tcW w:w="2841" w:type="dxa"/>
          </w:tcPr>
          <w:p w14:paraId="670EE72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right="0" w:right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</w:tr>
    </w:tbl>
    <w:p w14:paraId="312DC3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</w:p>
    <w:p w14:paraId="313E81B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22" w:name="_Toc9751"/>
      <w:r>
        <w:rPr>
          <w:rFonts w:hint="eastAsia"/>
        </w:rPr>
        <w:t>报告内容标准</w:t>
      </w:r>
      <w:bookmarkEnd w:id="22"/>
    </w:p>
    <w:p w14:paraId="2FAF27F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各类报告应包含以下核心内容：</w:t>
      </w:r>
    </w:p>
    <w:p w14:paraId="30C97F10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执行摘要：关键发现和建议的概要说明</w:t>
      </w:r>
    </w:p>
    <w:p w14:paraId="23D29DF6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绩效分析：与目标的对比分析、趋势识别</w:t>
      </w:r>
    </w:p>
    <w:p w14:paraId="14E7A122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根本原因分析：重大偏差的根本原因分析</w:t>
      </w:r>
    </w:p>
    <w:p w14:paraId="55F8F2C9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改进建议：具体的纠正和预防措施建议</w:t>
      </w:r>
    </w:p>
    <w:p w14:paraId="34BB01B2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</w:rPr>
      </w:pPr>
      <w:r>
        <w:rPr>
          <w:rFonts w:hint="eastAsia"/>
        </w:rPr>
        <w:t>行动计划：明确的责任分工和时间表</w:t>
      </w:r>
    </w:p>
    <w:p w14:paraId="0AF5795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23" w:name="_Toc19463"/>
      <w:r>
        <w:rPr>
          <w:rFonts w:hint="eastAsia"/>
        </w:rPr>
        <w:t>数据质量管理</w:t>
      </w:r>
      <w:bookmarkEnd w:id="23"/>
    </w:p>
    <w:p w14:paraId="4E69B74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24" w:name="_Toc22882"/>
      <w:r>
        <w:rPr>
          <w:rFonts w:hint="eastAsia"/>
        </w:rPr>
        <w:t>数据采集规范</w:t>
      </w:r>
      <w:bookmarkEnd w:id="24"/>
    </w:p>
    <w:p w14:paraId="1C4C01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数据源管理：建立数据源清单，明确各数据源的责任人和质量要求</w:t>
      </w:r>
    </w:p>
    <w:p w14:paraId="5939FF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采集频率：根据指标特性设定合理的采集频率，确保数据时效性</w:t>
      </w:r>
    </w:p>
    <w:p w14:paraId="160376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数据验证：建立数据验证机制，包括完整性检查、合理性校验等</w:t>
      </w:r>
    </w:p>
    <w:p w14:paraId="6FB519B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25" w:name="_Toc30908"/>
      <w:r>
        <w:rPr>
          <w:rFonts w:hint="eastAsia"/>
        </w:rPr>
        <w:t>数据质量控制</w:t>
      </w:r>
      <w:bookmarkEnd w:id="25"/>
    </w:p>
    <w:p w14:paraId="5E32C8D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质量指标：设定数据准确性、完整性、及时性等质量指标</w:t>
      </w:r>
    </w:p>
    <w:p w14:paraId="42DFBC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异常处理：建立数据异常识别和处理流程</w:t>
      </w:r>
    </w:p>
    <w:p w14:paraId="17C57F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质量审计：定期对数据质量进行审计，确保数据可靠性</w:t>
      </w:r>
    </w:p>
    <w:p w14:paraId="658F322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26" w:name="_Toc13726"/>
      <w:r>
        <w:rPr>
          <w:rFonts w:hint="eastAsia"/>
        </w:rPr>
        <w:t>报告生成与评审</w:t>
      </w:r>
      <w:bookmarkEnd w:id="26"/>
    </w:p>
    <w:p w14:paraId="53C5E3F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27" w:name="_Toc6806"/>
      <w:r>
        <w:rPr>
          <w:rFonts w:hint="eastAsia"/>
        </w:rPr>
        <w:t>报告生成流程</w:t>
      </w:r>
      <w:bookmarkEnd w:id="27"/>
    </w:p>
    <w:p w14:paraId="23B67D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模板化管理：建立标准化的报告模板，确保格式统一</w:t>
      </w:r>
    </w:p>
    <w:p w14:paraId="1E156BB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自动化支持：尽可能采用自动化工具生成报告，减少人工错误</w:t>
      </w:r>
    </w:p>
    <w:p w14:paraId="1DCAED7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版本控制：建立报告版本管理机制，确保可追溯性</w:t>
      </w:r>
    </w:p>
    <w:p w14:paraId="1B08700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28" w:name="_Toc4996"/>
      <w:r>
        <w:rPr>
          <w:rFonts w:hint="eastAsia"/>
        </w:rPr>
        <w:t>多级评审机制</w:t>
      </w:r>
      <w:bookmarkEnd w:id="28"/>
    </w:p>
    <w:p w14:paraId="2E7F21A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建立分层次的报告评审机制：</w:t>
      </w:r>
    </w:p>
    <w:p w14:paraId="79E367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技术评审：由运维工程师验证数据准确性和计算方法</w:t>
      </w:r>
    </w:p>
    <w:p w14:paraId="400B992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管理评审：由运维部部长审核分析结论和建议的合理性</w:t>
      </w:r>
    </w:p>
    <w:p w14:paraId="085136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客户确认：关键报告需经客户确认为最终版本</w:t>
      </w:r>
    </w:p>
    <w:p w14:paraId="1DBADA2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29" w:name="_Toc303"/>
      <w:r>
        <w:rPr>
          <w:rFonts w:hint="eastAsia"/>
        </w:rPr>
        <w:t>报告分发与使用</w:t>
      </w:r>
      <w:bookmarkEnd w:id="29"/>
    </w:p>
    <w:p w14:paraId="4B06966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30" w:name="_Toc32505"/>
      <w:r>
        <w:rPr>
          <w:rFonts w:hint="eastAsia"/>
        </w:rPr>
        <w:t>分发管理</w:t>
      </w:r>
      <w:bookmarkEnd w:id="30"/>
    </w:p>
    <w:p w14:paraId="56364E9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分发清单：建立报告分发矩阵，明确各报告的接收人和分发方式</w:t>
      </w:r>
    </w:p>
    <w:p w14:paraId="6A356E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保密管理：根据信息敏感度设定相应的保密级别和传播范围</w:t>
      </w:r>
    </w:p>
    <w:p w14:paraId="7008FD0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反馈收集：建立报告反馈机制，持续改进报告质量</w:t>
      </w:r>
    </w:p>
    <w:p w14:paraId="6949CDC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31" w:name="_Toc164"/>
      <w:r>
        <w:rPr>
          <w:rFonts w:hint="eastAsia"/>
        </w:rPr>
        <w:t>效果评估</w:t>
      </w:r>
      <w:bookmarkEnd w:id="31"/>
    </w:p>
    <w:p w14:paraId="0D8DCA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使用情况跟踪：监控报告的使用情况和效果</w:t>
      </w:r>
    </w:p>
    <w:p w14:paraId="3A3582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价值评估：定期评估报告对决策支持的贡献度</w:t>
      </w:r>
    </w:p>
    <w:p w14:paraId="35D6FF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持续优化：基于使用反馈持续优化报告内容和形式</w:t>
      </w:r>
    </w:p>
    <w:p w14:paraId="2EAD5A4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32" w:name="_Toc23610"/>
      <w:r>
        <w:rPr>
          <w:rFonts w:hint="eastAsia"/>
        </w:rPr>
        <w:t>报告归档与知识管理</w:t>
      </w:r>
      <w:bookmarkEnd w:id="32"/>
    </w:p>
    <w:p w14:paraId="5625CDA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33" w:name="_Toc29351"/>
      <w:r>
        <w:rPr>
          <w:rFonts w:hint="eastAsia"/>
        </w:rPr>
        <w:t>归档管理</w:t>
      </w:r>
      <w:bookmarkEnd w:id="33"/>
    </w:p>
    <w:p w14:paraId="26AC8F0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归档标准：明确归档范围、保存期限和存储要求</w:t>
      </w:r>
    </w:p>
    <w:p w14:paraId="21CF7B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检索机制：建立便捷的报告检索和查阅机制</w:t>
      </w:r>
    </w:p>
    <w:p w14:paraId="209D8B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安全控制：实施适当的访问权限控制，确保信息安全</w:t>
      </w:r>
    </w:p>
    <w:p w14:paraId="2E2B4FD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34" w:name="_Toc4868"/>
      <w:r>
        <w:rPr>
          <w:rFonts w:hint="eastAsia"/>
        </w:rPr>
        <w:t>知识转化</w:t>
      </w:r>
      <w:bookmarkEnd w:id="34"/>
    </w:p>
    <w:p w14:paraId="2D9F06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最佳实践：从报告分析中提炼最佳实践并推广应用</w:t>
      </w:r>
    </w:p>
    <w:p w14:paraId="745F65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经验教训：将重大问题的经验教训纳入知识库</w:t>
      </w:r>
    </w:p>
    <w:p w14:paraId="723749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模式识别：通过历史报告识别服务管理的规律和模式</w:t>
      </w:r>
    </w:p>
    <w:p w14:paraId="2AFF7E2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35" w:name="_Toc10604"/>
      <w:r>
        <w:rPr>
          <w:rFonts w:hint="eastAsia"/>
        </w:rPr>
        <w:t>关键控制点与测量指标</w:t>
      </w:r>
      <w:bookmarkEnd w:id="35"/>
    </w:p>
    <w:p w14:paraId="5EE157A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关键控制点：报告数据的准确性、报告编制的及时性、报告评审的规范性。</w:t>
      </w:r>
    </w:p>
    <w:p w14:paraId="6A885F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过程测量指标：服务报告提交及时率=(按时提交的服务报告数量 / 应提交的服务报告总数) × 100%</w:t>
      </w:r>
    </w:p>
    <w:p w14:paraId="63AEE4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关键绩效指标表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1"/>
        <w:gridCol w:w="2049"/>
        <w:gridCol w:w="3427"/>
        <w:gridCol w:w="1107"/>
        <w:gridCol w:w="1094"/>
      </w:tblGrid>
      <w:tr w14:paraId="6E45A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5C1E92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序号</w:t>
            </w:r>
          </w:p>
        </w:tc>
        <w:tc>
          <w:tcPr>
            <w:tcW w:w="2049" w:type="dxa"/>
          </w:tcPr>
          <w:p w14:paraId="691088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衡量指标</w:t>
            </w:r>
          </w:p>
        </w:tc>
        <w:tc>
          <w:tcPr>
            <w:tcW w:w="3427" w:type="dxa"/>
          </w:tcPr>
          <w:p w14:paraId="61D316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指标计算说明</w:t>
            </w:r>
          </w:p>
        </w:tc>
        <w:tc>
          <w:tcPr>
            <w:tcW w:w="1107" w:type="dxa"/>
          </w:tcPr>
          <w:p w14:paraId="76003B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考核频次</w:t>
            </w:r>
          </w:p>
        </w:tc>
        <w:tc>
          <w:tcPr>
            <w:tcW w:w="1094" w:type="dxa"/>
          </w:tcPr>
          <w:p w14:paraId="291F35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目标值</w:t>
            </w:r>
          </w:p>
        </w:tc>
      </w:tr>
      <w:tr w14:paraId="1F103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4AFA53A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2049" w:type="dxa"/>
          </w:tcPr>
          <w:p w14:paraId="54FB1E0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服务报告提交及时率</w:t>
            </w:r>
          </w:p>
        </w:tc>
        <w:tc>
          <w:tcPr>
            <w:tcW w:w="3427" w:type="dxa"/>
          </w:tcPr>
          <w:p w14:paraId="15B966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按时提交的服务报告数量/应提交的服务报告总数)×100%</w:t>
            </w:r>
          </w:p>
        </w:tc>
        <w:tc>
          <w:tcPr>
            <w:tcW w:w="1107" w:type="dxa"/>
          </w:tcPr>
          <w:p w14:paraId="2CC6B9A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季度</w:t>
            </w:r>
          </w:p>
        </w:tc>
        <w:tc>
          <w:tcPr>
            <w:tcW w:w="1094" w:type="dxa"/>
          </w:tcPr>
          <w:p w14:paraId="1126D3F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vertAlign w:val="baseline"/>
                <w:lang w:val="en-US" w:eastAsia="zh-CN"/>
              </w:rPr>
              <w:t>≥95%</w:t>
            </w:r>
          </w:p>
        </w:tc>
      </w:tr>
    </w:tbl>
    <w:p w14:paraId="4F05C0A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36" w:name="bookmark3"/>
      <w:bookmarkEnd w:id="36"/>
      <w:bookmarkStart w:id="37" w:name="_Toc17424"/>
      <w:bookmarkStart w:id="38" w:name="_Toc22635"/>
      <w:r>
        <w:rPr>
          <w:rStyle w:val="38"/>
          <w:rFonts w:hint="eastAsia" w:eastAsia="宋体"/>
          <w:lang w:val="en-US" w:eastAsia="zh-CN"/>
        </w:rPr>
        <w:t>附则</w:t>
      </w:r>
      <w:bookmarkEnd w:id="37"/>
      <w:bookmarkEnd w:id="38"/>
    </w:p>
    <w:p w14:paraId="1D87E019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运维部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0B9E3D83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2018D8F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9" w:name="bookmark14"/>
      <w:bookmarkEnd w:id="39"/>
      <w:bookmarkStart w:id="40" w:name="_Toc10943"/>
      <w:r>
        <w:rPr>
          <w:rFonts w:hint="eastAsia"/>
          <w:lang w:val="en-US" w:eastAsia="zh-CN"/>
        </w:rPr>
        <w:t>附件</w:t>
      </w:r>
      <w:bookmarkEnd w:id="40"/>
    </w:p>
    <w:p w14:paraId="6364190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2E25A5B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1" w:name="_Toc13309"/>
      <w:r>
        <w:rPr>
          <w:rFonts w:hint="eastAsia"/>
          <w:lang w:val="en-US" w:eastAsia="zh-CN"/>
        </w:rPr>
        <w:t>记录</w:t>
      </w:r>
      <w:bookmarkEnd w:id="41"/>
    </w:p>
    <w:p w14:paraId="3ED554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9A791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7990EF0"/>
    <w:multiLevelType w:val="singleLevel"/>
    <w:tmpl w:val="E7990EF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A3EEEB0"/>
    <w:multiLevelType w:val="singleLevel"/>
    <w:tmpl w:val="EA3EEEB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33339532"/>
    <w:multiLevelType w:val="singleLevel"/>
    <w:tmpl w:val="3333953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45B91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2455</Words>
  <Characters>2718</Characters>
  <Lines>0</Lines>
  <Paragraphs>0</Paragraphs>
  <TotalTime>0</TotalTime>
  <ScaleCrop>false</ScaleCrop>
  <LinksUpToDate>false</LinksUpToDate>
  <CharactersWithSpaces>2813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2026-05-25T03:41:46Z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