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E3E2D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94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29F9863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87"/>
      <w:r>
        <w:rPr>
          <w:rFonts w:hint="eastAsia"/>
          <w:lang w:val="en-US" w:eastAsia="zh-CN"/>
        </w:rPr>
        <w:t>配置管理制度</w:t>
      </w:r>
      <w:bookmarkEnd w:id="1"/>
    </w:p>
    <w:p w14:paraId="2E0F08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文件编号：ZGS-06-08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5EA03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C028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249C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C983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04543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BF4A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42" w:name="_GoBack"/>
            <w:bookmarkEnd w:id="4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5216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34310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73AA94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15A3D1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2F1524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9F8F3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9AB5B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63DA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29214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721DD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01A13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C3C4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2ADE19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C4E7C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1E344E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A2FBB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171B8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62EF8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968C0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0896B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00093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D0750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994C9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509B2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D992D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E2C6C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60DF9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CF804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1A1A7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C0BE2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8A7A26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3A3791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B18F1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_Toc28945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5F62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_Toc1587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88DC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_Toc12125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B29B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_Toc10206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601D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_Toc6473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DBC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_Toc20338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F897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_Toc31787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F85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运维部部长</w:t>
          </w:r>
          <w:r>
            <w:tab/>
          </w:r>
          <w:r>
            <w:fldChar w:fldCharType="begin"/>
          </w:r>
          <w:r>
            <w:instrText xml:space="preserve"> PAGEREF _Toc32017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8156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_Toc18208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5130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_Toc7391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593F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_Toc29001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262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配置项</w:t>
          </w:r>
          <w:r>
            <w:tab/>
          </w:r>
          <w:r>
            <w:fldChar w:fldCharType="begin"/>
          </w:r>
          <w:r>
            <w:instrText xml:space="preserve"> PAGEREF _Toc24262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E031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配置管理数据库</w:t>
          </w:r>
          <w:r>
            <w:tab/>
          </w:r>
          <w:r>
            <w:fldChar w:fldCharType="begin"/>
          </w:r>
          <w:r>
            <w:instrText xml:space="preserve"> PAGEREF _Toc21265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3831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配置基线</w:t>
          </w:r>
          <w:r>
            <w:tab/>
          </w:r>
          <w:r>
            <w:fldChar w:fldCharType="begin"/>
          </w:r>
          <w:r>
            <w:instrText xml:space="preserve"> PAGEREF _Toc2332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DFDB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_Toc4768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F8D3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配置管理策略</w:t>
          </w:r>
          <w:r>
            <w:tab/>
          </w:r>
          <w:r>
            <w:fldChar w:fldCharType="begin"/>
          </w:r>
          <w:r>
            <w:instrText xml:space="preserve"> PAGEREF _Toc1493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8E290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4.1.1. 配置管理范围定义</w:t>
          </w:r>
          <w:r>
            <w:tab/>
          </w:r>
          <w:r>
            <w:fldChar w:fldCharType="begin"/>
          </w:r>
          <w:r>
            <w:instrText xml:space="preserve"> PAGEREF _Toc1251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7A039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4.1.2. 命名规范与属性定义</w:t>
          </w:r>
          <w:r>
            <w:tab/>
          </w:r>
          <w:r>
            <w:fldChar w:fldCharType="begin"/>
          </w:r>
          <w:r>
            <w:instrText xml:space="preserve"> PAGEREF _Toc9700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8EB9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配置项识别与定义</w:t>
          </w:r>
          <w:r>
            <w:tab/>
          </w:r>
          <w:r>
            <w:fldChar w:fldCharType="begin"/>
          </w:r>
          <w:r>
            <w:instrText xml:space="preserve"> PAGEREF _Toc12240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363D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配置项识别流程</w:t>
          </w:r>
          <w:r>
            <w:tab/>
          </w:r>
          <w:r>
            <w:fldChar w:fldCharType="begin"/>
          </w:r>
          <w:r>
            <w:instrText xml:space="preserve"> PAGEREF _Toc13554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AD46F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配置项属性管理</w:t>
          </w:r>
          <w:r>
            <w:tab/>
          </w:r>
          <w:r>
            <w:fldChar w:fldCharType="begin"/>
          </w:r>
          <w:r>
            <w:instrText xml:space="preserve"> PAGEREF _Toc16334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8A32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CMDB建设与维护</w:t>
          </w:r>
          <w:r>
            <w:tab/>
          </w:r>
          <w:r>
            <w:fldChar w:fldCharType="begin"/>
          </w:r>
          <w:r>
            <w:instrText xml:space="preserve"> PAGEREF _Toc1951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0BF27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CMDB初始化</w:t>
          </w:r>
          <w:r>
            <w:tab/>
          </w:r>
          <w:r>
            <w:fldChar w:fldCharType="begin"/>
          </w:r>
          <w:r>
            <w:instrText xml:space="preserve"> PAGEREF _Toc4465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413A2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日常维护流程</w:t>
          </w:r>
          <w:r>
            <w:tab/>
          </w:r>
          <w:r>
            <w:fldChar w:fldCharType="begin"/>
          </w:r>
          <w:r>
            <w:instrText xml:space="preserve"> PAGEREF _Toc16606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B1F1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配置变更控制</w:t>
          </w:r>
          <w:r>
            <w:tab/>
          </w:r>
          <w:r>
            <w:fldChar w:fldCharType="begin"/>
          </w:r>
          <w:r>
            <w:instrText xml:space="preserve"> PAGEREF _Toc14815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2AAA4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4.4.1. 变更触发机制</w:t>
          </w:r>
          <w:r>
            <w:tab/>
          </w:r>
          <w:r>
            <w:fldChar w:fldCharType="begin"/>
          </w:r>
          <w:r>
            <w:instrText xml:space="preserve"> PAGEREF _Toc12083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C0888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4.4.2. 变更验证流程</w:t>
          </w:r>
          <w:r>
            <w:tab/>
          </w:r>
          <w:r>
            <w:fldChar w:fldCharType="begin"/>
          </w:r>
          <w:r>
            <w:instrText xml:space="preserve"> PAGEREF _Toc2974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CDF3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配置状态报告</w:t>
          </w:r>
          <w:r>
            <w:tab/>
          </w:r>
          <w:r>
            <w:fldChar w:fldCharType="begin"/>
          </w:r>
          <w:r>
            <w:instrText xml:space="preserve"> PAGEREF _Toc26842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6AE3A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4.5.1. 报告类型与内容</w:t>
          </w:r>
          <w:r>
            <w:tab/>
          </w:r>
          <w:r>
            <w:fldChar w:fldCharType="begin"/>
          </w:r>
          <w:r>
            <w:instrText xml:space="preserve"> PAGEREF _Toc17054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8AA00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4.5.2. 报告分发与使用</w:t>
          </w:r>
          <w:r>
            <w:tab/>
          </w:r>
          <w:r>
            <w:fldChar w:fldCharType="begin"/>
          </w:r>
          <w:r>
            <w:instrText xml:space="preserve"> PAGEREF _Toc17948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DBED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配置审计与改进</w:t>
          </w:r>
          <w:r>
            <w:tab/>
          </w:r>
          <w:r>
            <w:fldChar w:fldCharType="begin"/>
          </w:r>
          <w:r>
            <w:instrText xml:space="preserve"> PAGEREF _Toc6580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C087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4.6.1. 审计计划与执行</w:t>
          </w:r>
          <w:r>
            <w:tab/>
          </w:r>
          <w:r>
            <w:fldChar w:fldCharType="begin"/>
          </w:r>
          <w:r>
            <w:instrText xml:space="preserve"> PAGEREF _Toc4961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873D9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4.6.2. 问题跟踪与改进</w:t>
          </w:r>
          <w:r>
            <w:tab/>
          </w:r>
          <w:r>
            <w:fldChar w:fldCharType="begin"/>
          </w:r>
          <w:r>
            <w:instrText xml:space="preserve"> PAGEREF _Toc23789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57EB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4.7. 关键控制点与测量指标</w:t>
          </w:r>
          <w:r>
            <w:tab/>
          </w:r>
          <w:r>
            <w:fldChar w:fldCharType="begin"/>
          </w:r>
          <w:r>
            <w:instrText xml:space="preserve"> PAGEREF _Toc24767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E704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4.7.1. 关键控制点</w:t>
          </w:r>
          <w:r>
            <w:tab/>
          </w:r>
          <w:r>
            <w:fldChar w:fldCharType="begin"/>
          </w:r>
          <w:r>
            <w:instrText xml:space="preserve"> PAGEREF _Toc26455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B20D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4.7.2. </w:t>
          </w:r>
          <w:r>
            <w:rPr>
              <w:rFonts w:hint="eastAsia"/>
              <w:lang w:val="en-US" w:eastAsia="zh-CN"/>
            </w:rPr>
            <w:t>过程测量指标</w:t>
          </w:r>
          <w:r>
            <w:tab/>
          </w:r>
          <w:r>
            <w:fldChar w:fldCharType="begin"/>
          </w:r>
          <w:r>
            <w:instrText xml:space="preserve"> PAGEREF _Toc17174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80B7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_Toc12339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5A0F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_Toc15099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A030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_Toc27318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05B04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EFC7D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09EE5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2125"/>
      <w:r>
        <w:rPr>
          <w:rFonts w:hint="eastAsia"/>
          <w:lang w:val="en-US" w:eastAsia="zh-CN"/>
        </w:rPr>
        <w:t>总则</w:t>
      </w:r>
      <w:bookmarkEnd w:id="2"/>
    </w:p>
    <w:p w14:paraId="49200B9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0206"/>
      <w:r>
        <w:rPr>
          <w:rFonts w:hint="eastAsia"/>
          <w:lang w:val="en-US" w:eastAsia="zh-CN"/>
        </w:rPr>
        <w:t>目的</w:t>
      </w:r>
      <w:bookmarkEnd w:id="3"/>
    </w:p>
    <w:p w14:paraId="6EE98BB3">
      <w:pPr>
        <w:pStyle w:val="29"/>
        <w:bidi w:val="0"/>
        <w:rPr>
          <w:rFonts w:hint="eastAsia"/>
          <w:lang w:val="en-US" w:eastAsia="zh-CN"/>
        </w:rPr>
      </w:pPr>
      <w:r>
        <w:t>为规范重庆市鹧鸪哨信息技术有限责任公司运维服务的配置管理，通过识别、控制、维护与验证所有配置项，提供一个统一、一致的管理流程，以确保服务环境中所有组件的完整性、准确性和可追溯性，从而支撑服务的稳定运行与高效管理。</w:t>
      </w:r>
    </w:p>
    <w:p w14:paraId="12D3A7E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6473"/>
      <w:r>
        <w:rPr>
          <w:rFonts w:hint="eastAsia"/>
          <w:lang w:val="en-US" w:eastAsia="zh-CN"/>
        </w:rPr>
        <w:t>适用范围</w:t>
      </w:r>
      <w:bookmarkEnd w:id="4"/>
    </w:p>
    <w:p w14:paraId="373210E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本制度适用于公司运维部，管理范围涵盖所有依据ITSS服务目录定义的，为交付运维服务所必需的硬件、软件、文档及服务等配置项。</w:t>
      </w:r>
    </w:p>
    <w:p w14:paraId="6393338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0338"/>
      <w:r>
        <w:rPr>
          <w:rFonts w:hint="eastAsia"/>
          <w:lang w:val="en-US" w:eastAsia="zh-CN"/>
        </w:rPr>
        <w:t>原则</w:t>
      </w:r>
      <w:bookmarkEnd w:id="5"/>
    </w:p>
    <w:p w14:paraId="33E566F7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统一管理原则：所有配置项必须遵循统一的命名、属性和关系定义规范。</w:t>
      </w:r>
    </w:p>
    <w:p w14:paraId="15DC1692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准确可靠原则：配置管理数据库（CMDB）中的数据必须真实、准确地反映实际环境。</w:t>
      </w:r>
    </w:p>
    <w:p w14:paraId="47E012A9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受控变更原则：配置项的任何变更必须经由变更管理流程触发，确保状态可控。</w:t>
      </w:r>
    </w:p>
    <w:p w14:paraId="6FF5CB0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持续审计原则：定期对配置项进行审计，确保CMDB数据的完整性。</w:t>
      </w:r>
    </w:p>
    <w:p w14:paraId="14A1FE8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1787"/>
      <w:r>
        <w:rPr>
          <w:rFonts w:hint="eastAsia"/>
          <w:lang w:val="en-US" w:eastAsia="zh-CN"/>
        </w:rPr>
        <w:t>岗位职责</w:t>
      </w:r>
      <w:bookmarkEnd w:id="6"/>
    </w:p>
    <w:p w14:paraId="395BAEEC">
      <w:pPr>
        <w:pStyle w:val="31"/>
        <w:bidi w:val="0"/>
        <w:rPr>
          <w:rFonts w:hint="default"/>
          <w:lang w:val="en-US" w:eastAsia="zh-CN"/>
        </w:rPr>
      </w:pPr>
      <w:bookmarkStart w:id="7" w:name="_Toc32017"/>
      <w:r>
        <w:rPr>
          <w:rFonts w:hint="eastAsia"/>
          <w:lang w:val="en-US" w:eastAsia="zh-CN"/>
        </w:rPr>
        <w:t>运维部部长</w:t>
      </w:r>
      <w:bookmarkEnd w:id="7"/>
    </w:p>
    <w:p w14:paraId="305B8E9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负责定义、维护并推广配置管理流程及相关模板。</w:t>
      </w:r>
    </w:p>
    <w:p w14:paraId="3510CA62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管理配置管理流程的实施，确保其目标达成。</w:t>
      </w:r>
    </w:p>
    <w:p w14:paraId="0EB27F1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识别流程改进机会并推动优化。</w:t>
      </w:r>
    </w:p>
    <w:p w14:paraId="6EF1EE70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定期组织配置审计，并负责批准建立配置基线。</w:t>
      </w:r>
    </w:p>
    <w:p w14:paraId="45695942">
      <w:pPr>
        <w:pStyle w:val="31"/>
        <w:bidi w:val="0"/>
        <w:rPr>
          <w:rFonts w:hint="default"/>
          <w:lang w:val="en-US" w:eastAsia="zh-CN"/>
        </w:rPr>
      </w:pPr>
      <w:bookmarkStart w:id="8" w:name="_Toc18208"/>
      <w:r>
        <w:rPr>
          <w:rFonts w:hint="eastAsia"/>
          <w:lang w:val="en-US" w:eastAsia="zh-CN"/>
        </w:rPr>
        <w:t>运维工程师</w:t>
      </w:r>
      <w:bookmarkEnd w:id="8"/>
    </w:p>
    <w:p w14:paraId="23D16D77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负责配置管理数据库（CMDB）的建立、日常控制与维护。</w:t>
      </w:r>
    </w:p>
    <w:p w14:paraId="63B720B3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确保配置管理数据的完整性与准确性，为其他流程提供可靠信息。</w:t>
      </w:r>
    </w:p>
    <w:p w14:paraId="60720617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执行配置项数据的定期审计与评估。</w:t>
      </w:r>
    </w:p>
    <w:p w14:paraId="2452E7A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负责定期生成配置状态报告。</w:t>
      </w:r>
    </w:p>
    <w:p w14:paraId="7593724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7391"/>
      <w:r>
        <w:rPr>
          <w:rFonts w:hint="eastAsia"/>
          <w:lang w:val="en-US" w:eastAsia="zh-CN"/>
        </w:rPr>
        <w:t>引用依据</w:t>
      </w:r>
      <w:bookmarkEnd w:id="9"/>
    </w:p>
    <w:p w14:paraId="2480F4C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本制度制定引用了以下国家标准与行业规范：</w:t>
      </w:r>
    </w:p>
    <w:p w14:paraId="1561DB89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08C1E209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55A15026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2F892A84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1020257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29001"/>
      <w:r>
        <w:rPr>
          <w:rFonts w:hint="eastAsia"/>
          <w:lang w:val="en-US" w:eastAsia="zh-CN"/>
        </w:rPr>
        <w:t>定义与术语</w:t>
      </w:r>
      <w:bookmarkEnd w:id="10"/>
    </w:p>
    <w:p w14:paraId="14CCAF76">
      <w:pPr>
        <w:pStyle w:val="30"/>
        <w:bidi w:val="0"/>
        <w:rPr>
          <w:rFonts w:hint="eastAsia"/>
        </w:rPr>
      </w:pPr>
      <w:bookmarkStart w:id="11" w:name="_Toc24262"/>
      <w:r>
        <w:rPr>
          <w:rFonts w:hint="eastAsia"/>
        </w:rPr>
        <w:t>配置项</w:t>
      </w:r>
      <w:bookmarkEnd w:id="11"/>
    </w:p>
    <w:p w14:paraId="3C546473">
      <w:pPr>
        <w:pStyle w:val="29"/>
        <w:rPr>
          <w:rFonts w:hint="eastAsia"/>
        </w:rPr>
      </w:pPr>
      <w:r>
        <w:rPr>
          <w:rFonts w:hint="eastAsia"/>
        </w:rPr>
        <w:t>为交付运维服务所必需的、能够被独立管理的基本单元，包括硬件、软件、文档及服务等。</w:t>
      </w:r>
    </w:p>
    <w:p w14:paraId="02D6CB0C">
      <w:pPr>
        <w:pStyle w:val="30"/>
        <w:bidi w:val="0"/>
        <w:rPr>
          <w:rFonts w:hint="eastAsia"/>
        </w:rPr>
      </w:pPr>
      <w:bookmarkStart w:id="12" w:name="_Toc21265"/>
      <w:r>
        <w:rPr>
          <w:rFonts w:hint="eastAsia"/>
        </w:rPr>
        <w:t>配置管理数据库</w:t>
      </w:r>
      <w:bookmarkEnd w:id="12"/>
    </w:p>
    <w:p w14:paraId="5BEB3EB5">
      <w:pPr>
        <w:pStyle w:val="29"/>
        <w:rPr>
          <w:rFonts w:hint="eastAsia"/>
        </w:rPr>
      </w:pPr>
      <w:r>
        <w:rPr>
          <w:rFonts w:hint="eastAsia"/>
        </w:rPr>
        <w:t>包含所有配置项及其详细属性、状态及相互关系的数据库。</w:t>
      </w:r>
    </w:p>
    <w:p w14:paraId="55D101CF">
      <w:pPr>
        <w:pStyle w:val="30"/>
        <w:bidi w:val="0"/>
        <w:rPr>
          <w:rFonts w:hint="eastAsia"/>
        </w:rPr>
      </w:pPr>
      <w:bookmarkStart w:id="13" w:name="_Toc2332"/>
      <w:r>
        <w:rPr>
          <w:rFonts w:hint="eastAsia"/>
        </w:rPr>
        <w:t>配置基线</w:t>
      </w:r>
      <w:bookmarkEnd w:id="13"/>
    </w:p>
    <w:p w14:paraId="03E41D44">
      <w:pPr>
        <w:pStyle w:val="29"/>
      </w:pPr>
      <w:r>
        <w:rPr>
          <w:rFonts w:hint="eastAsia"/>
        </w:rPr>
        <w:t>在特定时间点正式指定的配置项集合的状态，作为后续工作和恢复的基准。</w:t>
      </w:r>
    </w:p>
    <w:p w14:paraId="47CBA5E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4768"/>
      <w:r>
        <w:rPr>
          <w:rFonts w:hint="eastAsia"/>
          <w:lang w:val="en-US" w:eastAsia="zh-CN"/>
        </w:rPr>
        <w:t>管理内容与要求</w:t>
      </w:r>
      <w:bookmarkEnd w:id="14"/>
    </w:p>
    <w:p w14:paraId="6ECD376F">
      <w:pPr>
        <w:pStyle w:val="30"/>
        <w:bidi w:val="0"/>
        <w:rPr>
          <w:rFonts w:hint="default"/>
          <w:lang w:val="en-US" w:eastAsia="zh-CN"/>
        </w:rPr>
      </w:pPr>
      <w:bookmarkStart w:id="15" w:name="_Toc1493"/>
      <w:r>
        <w:rPr>
          <w:rFonts w:hint="default"/>
          <w:lang w:val="en-US" w:eastAsia="zh-CN"/>
        </w:rPr>
        <w:t>配置管理策略</w:t>
      </w:r>
      <w:bookmarkEnd w:id="15"/>
    </w:p>
    <w:p w14:paraId="5A183EA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配置管理负责人需制定并维护配置管理策略，明确配置管理的目标、范围、角色与职责，定义配置项的命名规则、类别、属性、状态及相互关系。</w:t>
      </w:r>
    </w:p>
    <w:p w14:paraId="5471DE54">
      <w:pPr>
        <w:pStyle w:val="31"/>
        <w:bidi w:val="0"/>
        <w:rPr>
          <w:rFonts w:hint="default"/>
          <w:lang w:val="en-US" w:eastAsia="zh-CN"/>
        </w:rPr>
      </w:pPr>
      <w:bookmarkStart w:id="16" w:name="_Toc1251"/>
      <w:r>
        <w:rPr>
          <w:rFonts w:hint="default"/>
          <w:lang w:val="en-US" w:eastAsia="zh-CN"/>
        </w:rPr>
        <w:t>配置管理范围定义</w:t>
      </w:r>
      <w:bookmarkEnd w:id="16"/>
    </w:p>
    <w:p w14:paraId="6669956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制定详细的配置项识别标准，明确纳入配置管理的资源类型和粒度</w:t>
      </w:r>
    </w:p>
    <w:p w14:paraId="1130890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建立配置项分类体系，按照硬件、软件、文档、服务等维度进行分类管理</w:t>
      </w:r>
    </w:p>
    <w:p w14:paraId="63EE31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定义配置项的生命周期状态，包括：规划中、使用中、已停用、已报废</w:t>
      </w:r>
    </w:p>
    <w:p w14:paraId="73B529AB">
      <w:pPr>
        <w:pStyle w:val="31"/>
        <w:bidi w:val="0"/>
        <w:rPr>
          <w:rFonts w:hint="default"/>
          <w:lang w:val="en-US" w:eastAsia="zh-CN"/>
        </w:rPr>
      </w:pPr>
      <w:bookmarkStart w:id="17" w:name="_Toc9700"/>
      <w:r>
        <w:rPr>
          <w:rFonts w:hint="default"/>
          <w:lang w:val="en-US" w:eastAsia="zh-CN"/>
        </w:rPr>
        <w:t>命名规范与属性定义</w:t>
      </w:r>
      <w:bookmarkEnd w:id="17"/>
    </w:p>
    <w:p w14:paraId="2E22D0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制定统一的配置项命名规则，确保唯一性和可识别性</w:t>
      </w:r>
    </w:p>
    <w:p w14:paraId="778E4FB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定义各类配置项的关键属性，建立标准属性模板</w:t>
      </w:r>
    </w:p>
    <w:p w14:paraId="5890EF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建立配置项关系类型定义，包括：依赖、连接、包含、使用等关系</w:t>
      </w:r>
    </w:p>
    <w:p w14:paraId="32E0D874">
      <w:pPr>
        <w:pStyle w:val="30"/>
        <w:bidi w:val="0"/>
        <w:rPr>
          <w:rFonts w:hint="default"/>
          <w:lang w:val="en-US" w:eastAsia="zh-CN"/>
        </w:rPr>
      </w:pPr>
      <w:bookmarkStart w:id="18" w:name="_Toc12240"/>
      <w:r>
        <w:rPr>
          <w:rFonts w:hint="default"/>
          <w:lang w:val="en-US" w:eastAsia="zh-CN"/>
        </w:rPr>
        <w:t>配置项识别与定义</w:t>
      </w:r>
      <w:bookmarkEnd w:id="18"/>
    </w:p>
    <w:p w14:paraId="6DB938E1">
      <w:pPr>
        <w:pStyle w:val="31"/>
        <w:bidi w:val="0"/>
        <w:rPr>
          <w:rFonts w:hint="default"/>
          <w:lang w:val="en-US" w:eastAsia="zh-CN"/>
        </w:rPr>
      </w:pPr>
      <w:bookmarkStart w:id="19" w:name="_Toc13554"/>
      <w:r>
        <w:rPr>
          <w:rFonts w:hint="default"/>
          <w:lang w:val="en-US" w:eastAsia="zh-CN"/>
        </w:rPr>
        <w:t>配置项识别流程</w:t>
      </w:r>
      <w:bookmarkEnd w:id="19"/>
    </w:p>
    <w:p w14:paraId="300EF1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建立系统化的配置项识别机制：</w:t>
      </w:r>
    </w:p>
    <w:p w14:paraId="76D41D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新配置项识别：在新系统上线或新设备采购时，同步识别和定义配置项</w:t>
      </w:r>
    </w:p>
    <w:p w14:paraId="13E6D43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现有环境梳理：定期对现有环境进行配置项普查，确保无遗漏</w:t>
      </w:r>
    </w:p>
    <w:p w14:paraId="541E5E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变更触发识别：通过变更流程触发新配置项的识别和定义</w:t>
      </w:r>
    </w:p>
    <w:p w14:paraId="11919A67">
      <w:pPr>
        <w:pStyle w:val="31"/>
        <w:bidi w:val="0"/>
        <w:rPr>
          <w:rFonts w:hint="default"/>
          <w:lang w:val="en-US" w:eastAsia="zh-CN"/>
        </w:rPr>
      </w:pPr>
      <w:bookmarkStart w:id="20" w:name="_Toc16334"/>
      <w:r>
        <w:rPr>
          <w:rFonts w:hint="default"/>
          <w:lang w:val="en-US" w:eastAsia="zh-CN"/>
        </w:rPr>
        <w:t>配置项属性管理</w:t>
      </w:r>
      <w:bookmarkEnd w:id="20"/>
    </w:p>
    <w:p w14:paraId="2F2B9D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核心属性：包括名称、型号、版本、责任人、位置、状态等</w:t>
      </w:r>
    </w:p>
    <w:p w14:paraId="4D1CDB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业务属性：关联的业务系统、服务级别、成本中心等</w:t>
      </w:r>
    </w:p>
    <w:p w14:paraId="3C2FD67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技术属性：配置参数、性能指标、兼容性信息等</w:t>
      </w:r>
    </w:p>
    <w:p w14:paraId="2AC905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关系属性：与其他配置项的关联关系和依赖关系</w:t>
      </w:r>
    </w:p>
    <w:p w14:paraId="4E4BB9B3">
      <w:pPr>
        <w:pStyle w:val="30"/>
        <w:bidi w:val="0"/>
        <w:rPr>
          <w:rFonts w:hint="default"/>
          <w:lang w:val="en-US" w:eastAsia="zh-CN"/>
        </w:rPr>
      </w:pPr>
      <w:bookmarkStart w:id="21" w:name="_Toc1951"/>
      <w:r>
        <w:rPr>
          <w:rFonts w:hint="default"/>
          <w:lang w:val="en-US" w:eastAsia="zh-CN"/>
        </w:rPr>
        <w:t>CMDB建设与维护</w:t>
      </w:r>
      <w:bookmarkEnd w:id="21"/>
    </w:p>
    <w:p w14:paraId="013EB44C">
      <w:pPr>
        <w:pStyle w:val="31"/>
        <w:bidi w:val="0"/>
        <w:rPr>
          <w:rFonts w:hint="default"/>
          <w:lang w:val="en-US" w:eastAsia="zh-CN"/>
        </w:rPr>
      </w:pPr>
      <w:bookmarkStart w:id="22" w:name="_Toc4465"/>
      <w:r>
        <w:rPr>
          <w:rFonts w:hint="default"/>
          <w:lang w:val="en-US" w:eastAsia="zh-CN"/>
        </w:rPr>
        <w:t>CMDB初始化</w:t>
      </w:r>
      <w:bookmarkEnd w:id="22"/>
    </w:p>
    <w:p w14:paraId="3BFBE0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制定CMDB建设计划，分阶段实施配置项数据入库</w:t>
      </w:r>
    </w:p>
    <w:p w14:paraId="24E928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建立数据质量验证机制，确保初始化数据的准确性</w:t>
      </w:r>
    </w:p>
    <w:p w14:paraId="7F24802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制定配置基线，记录系统初始状态</w:t>
      </w:r>
    </w:p>
    <w:p w14:paraId="765393F8">
      <w:pPr>
        <w:pStyle w:val="31"/>
        <w:bidi w:val="0"/>
        <w:rPr>
          <w:rFonts w:hint="default"/>
          <w:lang w:val="en-US" w:eastAsia="zh-CN"/>
        </w:rPr>
      </w:pPr>
      <w:bookmarkStart w:id="23" w:name="_Toc16606"/>
      <w:r>
        <w:rPr>
          <w:rFonts w:hint="default"/>
          <w:lang w:val="en-US" w:eastAsia="zh-CN"/>
        </w:rPr>
        <w:t>日常维护流程</w:t>
      </w:r>
      <w:bookmarkEnd w:id="23"/>
    </w:p>
    <w:p w14:paraId="6BC991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变更同步：所有配置项变更必须实时同步更新CMDB</w:t>
      </w:r>
    </w:p>
    <w:p w14:paraId="3F93B4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定期验证：每月对关键配置项数据进行抽样验证</w:t>
      </w:r>
    </w:p>
    <w:p w14:paraId="12799A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问题处理：建立CMDB数据问题反馈和纠正机制</w:t>
      </w:r>
    </w:p>
    <w:p w14:paraId="6D09A8A9">
      <w:pPr>
        <w:pStyle w:val="30"/>
        <w:bidi w:val="0"/>
        <w:rPr>
          <w:rFonts w:hint="default"/>
          <w:lang w:val="en-US" w:eastAsia="zh-CN"/>
        </w:rPr>
      </w:pPr>
      <w:bookmarkStart w:id="24" w:name="_Toc14815"/>
      <w:r>
        <w:rPr>
          <w:rFonts w:hint="default"/>
          <w:lang w:val="en-US" w:eastAsia="zh-CN"/>
        </w:rPr>
        <w:t>配置变更控制</w:t>
      </w:r>
      <w:bookmarkEnd w:id="24"/>
    </w:p>
    <w:p w14:paraId="435AB91A">
      <w:pPr>
        <w:pStyle w:val="31"/>
        <w:bidi w:val="0"/>
        <w:rPr>
          <w:rFonts w:hint="default"/>
          <w:lang w:val="en-US" w:eastAsia="zh-CN"/>
        </w:rPr>
      </w:pPr>
      <w:bookmarkStart w:id="25" w:name="_Toc12083"/>
      <w:r>
        <w:rPr>
          <w:rFonts w:hint="default"/>
          <w:lang w:val="en-US" w:eastAsia="zh-CN"/>
        </w:rPr>
        <w:t>变更触发机制</w:t>
      </w:r>
      <w:bookmarkEnd w:id="25"/>
    </w:p>
    <w:p w14:paraId="49850B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所有配置项变更必须通过正式的变更管理流程</w:t>
      </w:r>
    </w:p>
    <w:p w14:paraId="63E6B8F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建立变更与配置项的关联关系，确保可追溯性</w:t>
      </w:r>
    </w:p>
    <w:p w14:paraId="766CE8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重大变更前必须建立配置基线，便于回滚</w:t>
      </w:r>
    </w:p>
    <w:p w14:paraId="12EFBF24">
      <w:pPr>
        <w:pStyle w:val="31"/>
        <w:bidi w:val="0"/>
        <w:rPr>
          <w:rFonts w:hint="default"/>
          <w:lang w:val="en-US" w:eastAsia="zh-CN"/>
        </w:rPr>
      </w:pPr>
      <w:bookmarkStart w:id="26" w:name="_Toc2974"/>
      <w:r>
        <w:rPr>
          <w:rFonts w:hint="default"/>
          <w:lang w:val="en-US" w:eastAsia="zh-CN"/>
        </w:rPr>
        <w:t>变更验证流程</w:t>
      </w:r>
      <w:bookmarkEnd w:id="26"/>
    </w:p>
    <w:p w14:paraId="13641B4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变更实施后必须验证CMDB数据的准确性</w:t>
      </w:r>
    </w:p>
    <w:p w14:paraId="6BCBB4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建立变更后配置项状态确认机制</w:t>
      </w:r>
    </w:p>
    <w:p w14:paraId="0F4D66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对变更影响进行分析，更新相关配置项关系</w:t>
      </w:r>
    </w:p>
    <w:p w14:paraId="615934C4">
      <w:pPr>
        <w:pStyle w:val="30"/>
        <w:bidi w:val="0"/>
        <w:rPr>
          <w:rFonts w:hint="default"/>
          <w:lang w:val="en-US" w:eastAsia="zh-CN"/>
        </w:rPr>
      </w:pPr>
      <w:bookmarkStart w:id="27" w:name="_Toc26842"/>
      <w:r>
        <w:rPr>
          <w:rFonts w:hint="default"/>
          <w:lang w:val="en-US" w:eastAsia="zh-CN"/>
        </w:rPr>
        <w:t>配置状态报告</w:t>
      </w:r>
      <w:bookmarkEnd w:id="27"/>
    </w:p>
    <w:p w14:paraId="2BF9D41D">
      <w:pPr>
        <w:pStyle w:val="31"/>
        <w:bidi w:val="0"/>
        <w:rPr>
          <w:rFonts w:hint="default"/>
          <w:lang w:val="en-US" w:eastAsia="zh-CN"/>
        </w:rPr>
      </w:pPr>
      <w:bookmarkStart w:id="28" w:name="_Toc17054"/>
      <w:r>
        <w:rPr>
          <w:rFonts w:hint="default"/>
          <w:lang w:val="en-US" w:eastAsia="zh-CN"/>
        </w:rPr>
        <w:t>报告类型与内容</w:t>
      </w:r>
      <w:bookmarkEnd w:id="28"/>
    </w:p>
    <w:p w14:paraId="3AE49AB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建立多层次的配置状态报告体系</w:t>
      </w:r>
    </w:p>
    <w:p w14:paraId="2C03AA67">
      <w:pPr>
        <w:pStyle w:val="31"/>
        <w:bidi w:val="0"/>
        <w:rPr>
          <w:rFonts w:hint="default"/>
          <w:lang w:val="en-US" w:eastAsia="zh-CN"/>
        </w:rPr>
      </w:pPr>
      <w:bookmarkStart w:id="29" w:name="_Toc17948"/>
      <w:r>
        <w:rPr>
          <w:rFonts w:hint="default"/>
          <w:lang w:val="en-US" w:eastAsia="zh-CN"/>
        </w:rPr>
        <w:t>报告分发与使用</w:t>
      </w:r>
      <w:bookmarkEnd w:id="29"/>
    </w:p>
    <w:p w14:paraId="56C853E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建立报告分发清单，确保相关方及时获取</w:t>
      </w:r>
    </w:p>
    <w:p w14:paraId="7673E18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将配置数据用于容量规划、影响分析、故障定位等场景</w:t>
      </w:r>
    </w:p>
    <w:p w14:paraId="220841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基于报告发现推动配置管理改进</w:t>
      </w:r>
    </w:p>
    <w:p w14:paraId="7FE96EE0">
      <w:pPr>
        <w:pStyle w:val="30"/>
        <w:bidi w:val="0"/>
        <w:rPr>
          <w:rFonts w:hint="default"/>
          <w:lang w:val="en-US" w:eastAsia="zh-CN"/>
        </w:rPr>
      </w:pPr>
      <w:bookmarkStart w:id="30" w:name="_Toc6580"/>
      <w:r>
        <w:rPr>
          <w:rFonts w:hint="default"/>
          <w:lang w:val="en-US" w:eastAsia="zh-CN"/>
        </w:rPr>
        <w:t>配置审计与改进</w:t>
      </w:r>
      <w:bookmarkEnd w:id="30"/>
    </w:p>
    <w:p w14:paraId="4C4CABAD">
      <w:pPr>
        <w:pStyle w:val="31"/>
        <w:bidi w:val="0"/>
        <w:rPr>
          <w:rFonts w:hint="default"/>
          <w:lang w:val="en-US" w:eastAsia="zh-CN"/>
        </w:rPr>
      </w:pPr>
      <w:bookmarkStart w:id="31" w:name="_Toc4961"/>
      <w:r>
        <w:rPr>
          <w:rFonts w:hint="default"/>
          <w:lang w:val="en-US" w:eastAsia="zh-CN"/>
        </w:rPr>
        <w:t>审计计划与执行</w:t>
      </w:r>
      <w:bookmarkEnd w:id="31"/>
    </w:p>
    <w:p w14:paraId="5725FBE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制定年度配置审计计划，覆盖所有关键配置项</w:t>
      </w:r>
    </w:p>
    <w:p w14:paraId="526BFB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采用定期审计与专项审计相结合的方式</w:t>
      </w:r>
    </w:p>
    <w:p w14:paraId="015177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审计范围包括：数据准确性、完整性、及时性</w:t>
      </w:r>
    </w:p>
    <w:p w14:paraId="48BD8A63">
      <w:pPr>
        <w:pStyle w:val="31"/>
        <w:bidi w:val="0"/>
        <w:rPr>
          <w:rFonts w:hint="default"/>
          <w:lang w:val="en-US" w:eastAsia="zh-CN"/>
        </w:rPr>
      </w:pPr>
      <w:bookmarkStart w:id="32" w:name="_Toc23789"/>
      <w:r>
        <w:rPr>
          <w:rFonts w:hint="default"/>
          <w:lang w:val="en-US" w:eastAsia="zh-CN"/>
        </w:rPr>
        <w:t>问题跟踪与改进</w:t>
      </w:r>
      <w:bookmarkEnd w:id="32"/>
    </w:p>
    <w:p w14:paraId="7C84064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建立审计问题跟踪机制，确保问题及时解决</w:t>
      </w:r>
    </w:p>
    <w:p w14:paraId="473412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分析问题根本原因，制定预防措施</w:t>
      </w:r>
    </w:p>
    <w:p w14:paraId="0087C6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将审计结果纳入持续改进计划</w:t>
      </w:r>
    </w:p>
    <w:p w14:paraId="3F9A21D6">
      <w:pPr>
        <w:pStyle w:val="30"/>
        <w:bidi w:val="0"/>
        <w:rPr>
          <w:rFonts w:hint="default"/>
          <w:lang w:val="en-US" w:eastAsia="zh-CN"/>
        </w:rPr>
      </w:pPr>
      <w:bookmarkStart w:id="33" w:name="_Toc24767"/>
      <w:r>
        <w:rPr>
          <w:rFonts w:hint="default"/>
          <w:lang w:val="en-US" w:eastAsia="zh-CN"/>
        </w:rPr>
        <w:t>关键控制点与测量指标</w:t>
      </w:r>
      <w:bookmarkEnd w:id="33"/>
    </w:p>
    <w:p w14:paraId="08F993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为确保配置管理流程的有效执行和持续改进，特设定以下关键控制点与量化测量指标。</w:t>
      </w:r>
    </w:p>
    <w:p w14:paraId="7A2C3A22">
      <w:pPr>
        <w:pStyle w:val="31"/>
        <w:bidi w:val="0"/>
        <w:rPr>
          <w:rFonts w:hint="default"/>
          <w:lang w:val="en-US" w:eastAsia="zh-CN"/>
        </w:rPr>
      </w:pPr>
      <w:bookmarkStart w:id="34" w:name="_Toc26455"/>
      <w:r>
        <w:rPr>
          <w:rFonts w:hint="default"/>
          <w:lang w:val="en-US" w:eastAsia="zh-CN"/>
        </w:rPr>
        <w:t>关键控制点</w:t>
      </w:r>
      <w:bookmarkEnd w:id="34"/>
    </w:p>
    <w:p w14:paraId="6EC6B530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所有配置项的增、删、改操作必须由变更管理流程正式触发。</w:t>
      </w:r>
    </w:p>
    <w:p w14:paraId="51C0066E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CMDB的初始化及重大调整必须建立并经过配置基线审批。</w:t>
      </w:r>
    </w:p>
    <w:p w14:paraId="43796CBC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定期配置审计必须执行，审计结果必须被回顾并用于改进。</w:t>
      </w:r>
    </w:p>
    <w:p w14:paraId="35188F8C">
      <w:pPr>
        <w:pStyle w:val="31"/>
        <w:bidi w:val="0"/>
        <w:rPr>
          <w:rFonts w:hint="default"/>
          <w:lang w:val="en-US" w:eastAsia="zh-CN"/>
        </w:rPr>
      </w:pPr>
      <w:bookmarkStart w:id="35" w:name="_Toc17174"/>
      <w:r>
        <w:rPr>
          <w:rFonts w:hint="eastAsia"/>
          <w:lang w:val="en-US" w:eastAsia="zh-CN"/>
        </w:rPr>
        <w:t>过程测量指标</w:t>
      </w:r>
      <w:bookmarkEnd w:id="35"/>
    </w:p>
    <w:p w14:paraId="0260FA6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配置测量指标如表4-1所示</w:t>
      </w:r>
    </w:p>
    <w:p w14:paraId="4F4CBA88">
      <w:pPr>
        <w:pStyle w:val="29"/>
        <w:ind w:left="0" w:leftChars="0" w:right="0" w:rightChars="0" w:firstLine="0" w:firstLineChars="0"/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</w:rPr>
        <w:t>过程测量指标</w:t>
      </w:r>
      <w:r>
        <w:rPr>
          <w:rFonts w:hint="eastAsia"/>
          <w:lang w:val="en-US" w:eastAsia="zh-CN"/>
        </w:rPr>
        <w:t>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705"/>
        <w:gridCol w:w="3771"/>
        <w:gridCol w:w="1107"/>
        <w:gridCol w:w="1094"/>
      </w:tblGrid>
      <w:tr w14:paraId="5266A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30B311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705" w:type="dxa"/>
          </w:tcPr>
          <w:p w14:paraId="28E07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771" w:type="dxa"/>
          </w:tcPr>
          <w:p w14:paraId="501024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171815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6A274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3BAEA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3FDA7E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705" w:type="dxa"/>
          </w:tcPr>
          <w:p w14:paraId="6DB1B81D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  <w:lang w:val="en-US" w:eastAsia="zh-CN"/>
              </w:rPr>
              <w:t>配置准确率</w:t>
            </w:r>
          </w:p>
        </w:tc>
        <w:tc>
          <w:tcPr>
            <w:tcW w:w="3771" w:type="dxa"/>
          </w:tcPr>
          <w:p w14:paraId="521FA3C2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(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  <w:lang w:val="en-US" w:eastAsia="zh-CN"/>
              </w:rPr>
              <w:t>准确配置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 xml:space="preserve">次数 / 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  <w:lang w:val="en-US" w:eastAsia="zh-CN"/>
              </w:rPr>
              <w:t>配置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总次数) × 100%</w:t>
            </w:r>
          </w:p>
        </w:tc>
        <w:tc>
          <w:tcPr>
            <w:tcW w:w="1107" w:type="dxa"/>
          </w:tcPr>
          <w:p w14:paraId="711156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46CAAF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≥99%</w:t>
            </w:r>
          </w:p>
        </w:tc>
      </w:tr>
    </w:tbl>
    <w:p w14:paraId="754842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6" w:name="bookmark3"/>
      <w:bookmarkEnd w:id="36"/>
      <w:bookmarkStart w:id="37" w:name="_Toc17424"/>
      <w:bookmarkStart w:id="38" w:name="_Toc12339"/>
      <w:r>
        <w:rPr>
          <w:rStyle w:val="38"/>
          <w:rFonts w:hint="eastAsia" w:eastAsia="宋体"/>
          <w:lang w:val="en-US" w:eastAsia="zh-CN"/>
        </w:rPr>
        <w:t>附则</w:t>
      </w:r>
      <w:bookmarkEnd w:id="37"/>
      <w:bookmarkEnd w:id="38"/>
    </w:p>
    <w:p w14:paraId="3E0535B1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68F0B66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94546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bookmark14"/>
      <w:bookmarkEnd w:id="39"/>
      <w:bookmarkStart w:id="40" w:name="_Toc15099"/>
      <w:r>
        <w:rPr>
          <w:rFonts w:hint="eastAsia"/>
          <w:lang w:val="en-US" w:eastAsia="zh-CN"/>
        </w:rPr>
        <w:t>附件</w:t>
      </w:r>
      <w:bookmarkEnd w:id="40"/>
    </w:p>
    <w:p w14:paraId="3C7C2233">
      <w:pPr>
        <w:pStyle w:val="40"/>
        <w:numPr>
          <w:ilvl w:val="0"/>
          <w:numId w:val="8"/>
        </w:numPr>
        <w:bidi w:val="0"/>
      </w:pPr>
      <w:r>
        <w:t>《配置项分类定义表》</w:t>
      </w:r>
    </w:p>
    <w:p w14:paraId="52178D5E">
      <w:pPr>
        <w:pStyle w:val="40"/>
        <w:numPr>
          <w:ilvl w:val="0"/>
          <w:numId w:val="8"/>
        </w:numPr>
        <w:bidi w:val="0"/>
      </w:pPr>
      <w:r>
        <w:rPr>
          <w:rFonts w:hint="default"/>
        </w:rPr>
        <w:t>《配置项属性表》</w:t>
      </w:r>
    </w:p>
    <w:p w14:paraId="531F17C4">
      <w:pPr>
        <w:pStyle w:val="40"/>
        <w:numPr>
          <w:ilvl w:val="0"/>
          <w:numId w:val="8"/>
        </w:numPr>
        <w:bidi w:val="0"/>
      </w:pPr>
      <w:r>
        <w:rPr>
          <w:rFonts w:hint="default"/>
        </w:rPr>
        <w:t>《配置项基本信息审计表》</w:t>
      </w:r>
    </w:p>
    <w:p w14:paraId="4C1FD253">
      <w:pPr>
        <w:pStyle w:val="40"/>
        <w:numPr>
          <w:ilvl w:val="0"/>
          <w:numId w:val="8"/>
        </w:numPr>
        <w:bidi w:val="0"/>
      </w:pPr>
      <w:r>
        <w:rPr>
          <w:rFonts w:hint="default"/>
        </w:rPr>
        <w:t>《配置状态报告模板》</w:t>
      </w:r>
    </w:p>
    <w:p w14:paraId="5EEC20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1" w:name="_Toc27318"/>
      <w:r>
        <w:rPr>
          <w:rFonts w:hint="eastAsia"/>
          <w:lang w:val="en-US" w:eastAsia="zh-CN"/>
        </w:rPr>
        <w:t>记录</w:t>
      </w:r>
      <w:bookmarkEnd w:id="41"/>
    </w:p>
    <w:p w14:paraId="0DDF6EFD">
      <w:pPr>
        <w:pStyle w:val="29"/>
        <w:bidi w:val="0"/>
      </w:pPr>
      <w:r>
        <w:t>配置管理过程中产生的所有记录，包括但不限于各类定义表、审计表、状态报告及配置审计报告，应由运维部统一保存，保存期限不少于3年。</w:t>
      </w:r>
    </w:p>
    <w:p w14:paraId="2FD21CC0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53FE5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>重庆市鹧鸪哨信息技术有限责任公司</w:t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6A6CC54"/>
    <w:multiLevelType w:val="singleLevel"/>
    <w:tmpl w:val="D6A6CC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DACB509"/>
    <w:multiLevelType w:val="singleLevel"/>
    <w:tmpl w:val="DDACB50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02D13D59"/>
    <w:multiLevelType w:val="singleLevel"/>
    <w:tmpl w:val="02D13D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EC9C27E"/>
    <w:multiLevelType w:val="singleLevel"/>
    <w:tmpl w:val="2EC9C2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B69818F"/>
    <w:multiLevelType w:val="singleLevel"/>
    <w:tmpl w:val="6B69818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DCEB3CB"/>
    <w:multiLevelType w:val="singleLevel"/>
    <w:tmpl w:val="6DCEB3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6"/>
  </w:num>
  <w:num w:numId="6">
    <w:abstractNumId w:val="4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E01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2367</Words>
  <Characters>2655</Characters>
  <Lines>0</Lines>
  <Paragraphs>0</Paragraphs>
  <TotalTime>0</TotalTime>
  <ScaleCrop>false</ScaleCrop>
  <LinksUpToDate>false</LinksUpToDate>
  <CharactersWithSpaces>2750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