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4E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0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459750A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144"/>
      <w:r>
        <w:rPr>
          <w:rFonts w:hint="eastAsia"/>
          <w:lang w:val="en-US" w:eastAsia="zh-CN"/>
        </w:rPr>
        <w:t>容量管理制度</w:t>
      </w:r>
      <w:bookmarkEnd w:id="1"/>
    </w:p>
    <w:p w14:paraId="381C14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文件编号：ZGS-06-10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31DC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2FAE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CE2A9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D7C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18A41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8AC14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43" w:name="_GoBack"/>
            <w:bookmarkEnd w:id="43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5D79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2F6B5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7031E2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967F2C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4DC847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211BA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95E2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0D507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9321F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0DB07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37B57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71E94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B7B9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35B24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862F7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68224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50F96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7317C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37A5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0AEE0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619E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3A101B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6D314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667FEB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E492C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D99BA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395372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01B00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70FE5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0BF13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2C0E9C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B7E9F5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18413C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_Toc18006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7F7B9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E1D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C378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FFF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_Toc11143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F6809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23FF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A6BB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运维部部长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C5F3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14A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F21D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B86ED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_Toc11533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DB33F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_Toc10119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6891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业务容量管理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B01C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服务容量管理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AEA7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资源容量管理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A65E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容量基线</w:t>
          </w:r>
          <w:r>
            <w:tab/>
          </w:r>
          <w:r>
            <w:fldChar w:fldCharType="begin"/>
          </w:r>
          <w:r>
            <w:instrText xml:space="preserve"> PAGEREF _Toc14391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48F9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866A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_Toc12762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容量规划管理</w:t>
          </w:r>
          <w:r>
            <w:tab/>
          </w:r>
          <w:r>
            <w:fldChar w:fldCharType="begin"/>
          </w:r>
          <w:r>
            <w:instrText xml:space="preserve"> PAGEREF _Toc12762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A744F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业务需求分析</w:t>
          </w:r>
          <w:r>
            <w:tab/>
          </w:r>
          <w:r>
            <w:fldChar w:fldCharType="begin"/>
          </w:r>
          <w:r>
            <w:instrText xml:space="preserve"> PAGEREF _Toc30042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B33A2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容量预测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9AE5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容量计划制定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2C96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容量监控管理</w:t>
          </w:r>
          <w:r>
            <w:tab/>
          </w:r>
          <w:r>
            <w:fldChar w:fldCharType="begin"/>
          </w:r>
          <w:r>
            <w:instrText xml:space="preserve"> PAGEREF _Toc16203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91189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监控指标体系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3E18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监控数据收集</w:t>
          </w:r>
          <w:r>
            <w:tab/>
          </w:r>
          <w:r>
            <w:fldChar w:fldCharType="begin"/>
          </w:r>
          <w:r>
            <w:instrText xml:space="preserve"> PAGEREF _Toc20345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93E1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阈值管理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35C0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容量分析管理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2A65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性能数据分析</w:t>
          </w:r>
          <w:r>
            <w:tab/>
          </w:r>
          <w:r>
            <w:fldChar w:fldCharType="begin"/>
          </w:r>
          <w:r>
            <w:instrText xml:space="preserve"> PAGEREF _Toc31640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211F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容量报告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7625A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容量优化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7C88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容量变更管理</w:t>
          </w:r>
          <w:r>
            <w:tab/>
          </w:r>
          <w:r>
            <w:fldChar w:fldCharType="begin"/>
          </w:r>
          <w:r>
            <w:instrText xml:space="preserve"> PAGEREF _Toc19782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F89F9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变更影响评估</w:t>
          </w:r>
          <w:r>
            <w:tab/>
          </w:r>
          <w:r>
            <w:fldChar w:fldCharType="begin"/>
          </w:r>
          <w:r>
            <w:instrText xml:space="preserve"> PAGEREF _Toc11747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F8D19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扩容管理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878D7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关键控制点与测量指标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0F65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关键控制点</w:t>
          </w:r>
          <w:r>
            <w:tab/>
          </w:r>
          <w:r>
            <w:fldChar w:fldCharType="begin"/>
          </w:r>
          <w:r>
            <w:instrText xml:space="preserve"> PAGEREF _Toc31816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F0F9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7CB7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_Toc19997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D39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534A2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8B12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65DC9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CD7E5B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FDA553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0791"/>
      <w:r>
        <w:rPr>
          <w:rFonts w:hint="eastAsia"/>
          <w:lang w:val="en-US" w:eastAsia="zh-CN"/>
        </w:rPr>
        <w:t>总则</w:t>
      </w:r>
      <w:bookmarkEnd w:id="2"/>
    </w:p>
    <w:p w14:paraId="549A10C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4376"/>
      <w:r>
        <w:rPr>
          <w:rFonts w:hint="eastAsia"/>
          <w:lang w:val="en-US" w:eastAsia="zh-CN"/>
        </w:rPr>
        <w:t>目的</w:t>
      </w:r>
      <w:bookmarkEnd w:id="3"/>
    </w:p>
    <w:p w14:paraId="75C129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为规范重庆市鹧鸪哨信息技术有限责任公司运维服务的容量管理，确保信息系统资源能够有效支撑业务发展需求，在保证服务性能的前提下优化资源利用率，控制成本，特制定本制度。</w:t>
      </w:r>
    </w:p>
    <w:p w14:paraId="5C4D5D9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1143"/>
      <w:r>
        <w:rPr>
          <w:rFonts w:hint="eastAsia"/>
          <w:lang w:val="en-US" w:eastAsia="zh-CN"/>
        </w:rPr>
        <w:t>适用范围</w:t>
      </w:r>
      <w:bookmarkEnd w:id="4"/>
    </w:p>
    <w:p w14:paraId="787313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本制度适用于公司运维部、研发部及所有参与信息系统规划、建设和运维的部门，管理范围涵盖所有支撑关键业务服务的计算、存储、网络等资源容量。</w:t>
      </w:r>
    </w:p>
    <w:p w14:paraId="5399975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4294"/>
      <w:r>
        <w:rPr>
          <w:rFonts w:hint="eastAsia"/>
          <w:lang w:val="en-US" w:eastAsia="zh-CN"/>
        </w:rPr>
        <w:t>原则</w:t>
      </w:r>
      <w:bookmarkEnd w:id="5"/>
    </w:p>
    <w:p w14:paraId="0416C30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业务导向原则：容量管理必须以业务需求为出发点，确保资源满足业务发展需要</w:t>
      </w:r>
    </w:p>
    <w:p w14:paraId="50A937B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预防为主原则：通过预测和规划，提前识别容量风险，避免资源瓶颈影响服务</w:t>
      </w:r>
    </w:p>
    <w:p w14:paraId="5FF979F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成本效益原则：在保证服务质量的前提下，优化资源配置，提高资源利用率</w:t>
      </w:r>
    </w:p>
    <w:p w14:paraId="4F69037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据驱动原则：基于性能数据和业务指标进行容量决策，确保决策的科学性</w:t>
      </w:r>
    </w:p>
    <w:p w14:paraId="022D07F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1125"/>
      <w:r>
        <w:rPr>
          <w:rFonts w:hint="eastAsia"/>
          <w:lang w:val="en-US" w:eastAsia="zh-CN"/>
        </w:rPr>
        <w:t>岗位职责</w:t>
      </w:r>
      <w:bookmarkEnd w:id="6"/>
    </w:p>
    <w:p w14:paraId="167ABD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458"/>
      <w:r>
        <w:rPr>
          <w:rFonts w:hint="eastAsia"/>
          <w:lang w:val="en-US" w:eastAsia="zh-CN"/>
        </w:rPr>
        <w:t>运维部部长</w:t>
      </w:r>
      <w:bookmarkEnd w:id="7"/>
    </w:p>
    <w:p w14:paraId="569776E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负责容量管理制度的制定、实施和监督</w:t>
      </w:r>
    </w:p>
    <w:p w14:paraId="48986F58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组织容量规划评审，审批容量管理计划</w:t>
      </w:r>
    </w:p>
    <w:p w14:paraId="3182055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协调资源，确保容量管理措施有效执行</w:t>
      </w:r>
    </w:p>
    <w:p w14:paraId="16336F2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7018"/>
      <w:r>
        <w:rPr>
          <w:rFonts w:hint="eastAsia"/>
          <w:lang w:val="en-US" w:eastAsia="zh-CN"/>
        </w:rPr>
        <w:t>运维工程师</w:t>
      </w:r>
      <w:bookmarkEnd w:id="8"/>
    </w:p>
    <w:p w14:paraId="30FAB4C1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负责容量监控、数据收集和分析</w:t>
      </w:r>
    </w:p>
    <w:p w14:paraId="1A47123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编制容量报告，提出优化建议</w:t>
      </w:r>
    </w:p>
    <w:p w14:paraId="3F2C08D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维护容量管理数据库和模型</w:t>
      </w:r>
    </w:p>
    <w:p w14:paraId="6083718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0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9"/>
    </w:p>
    <w:p w14:paraId="2B78B28E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提供业务发展规划和容量需求</w:t>
      </w:r>
    </w:p>
    <w:p w14:paraId="60427FC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配合进行业务影响分析</w:t>
      </w:r>
    </w:p>
    <w:p w14:paraId="64026B0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参与容量规划评审</w:t>
      </w:r>
    </w:p>
    <w:p w14:paraId="6A0BB7C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5774"/>
      <w:r>
        <w:rPr>
          <w:rFonts w:hint="eastAsia"/>
          <w:lang w:val="en-US" w:eastAsia="zh-CN"/>
        </w:rPr>
        <w:t>引用依据</w:t>
      </w:r>
      <w:bookmarkEnd w:id="10"/>
    </w:p>
    <w:p w14:paraId="203326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 w14:paraId="1CF4D91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37C45985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2B980F71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227D7A1B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44C07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1533"/>
      <w:r>
        <w:rPr>
          <w:rFonts w:hint="eastAsia"/>
          <w:lang w:val="en-US" w:eastAsia="zh-CN"/>
        </w:rPr>
        <w:t>定义与术语</w:t>
      </w:r>
      <w:bookmarkEnd w:id="11"/>
    </w:p>
    <w:p w14:paraId="24941DF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10119"/>
      <w:r>
        <w:rPr>
          <w:rFonts w:hint="eastAsia"/>
        </w:rPr>
        <w:t>容量管理</w:t>
      </w:r>
      <w:bookmarkEnd w:id="12"/>
    </w:p>
    <w:p w14:paraId="652A9E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确保IT资源在合适的时间以合适的成本提供合适容量的过程</w:t>
      </w:r>
    </w:p>
    <w:p w14:paraId="6515FE3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5540"/>
      <w:r>
        <w:rPr>
          <w:rFonts w:hint="eastAsia"/>
        </w:rPr>
        <w:t>业务容量管理</w:t>
      </w:r>
      <w:bookmarkEnd w:id="13"/>
    </w:p>
    <w:p w14:paraId="62DE07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关注业务量对系统资源需求的影响，建立业务量与资源使用的关系</w:t>
      </w:r>
    </w:p>
    <w:p w14:paraId="71A6610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30908"/>
      <w:r>
        <w:rPr>
          <w:rFonts w:hint="eastAsia"/>
        </w:rPr>
        <w:t>服务容量管理</w:t>
      </w:r>
      <w:bookmarkEnd w:id="14"/>
    </w:p>
    <w:p w14:paraId="620F84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关注终端用户的服务体验，确保服务性能达到既定目标</w:t>
      </w:r>
    </w:p>
    <w:p w14:paraId="631C05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14012"/>
      <w:r>
        <w:rPr>
          <w:rFonts w:hint="eastAsia"/>
        </w:rPr>
        <w:t>资源容量管理</w:t>
      </w:r>
      <w:bookmarkEnd w:id="15"/>
    </w:p>
    <w:p w14:paraId="39AF6B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关注单个IT组件的性能和使用情况，如CPU、内存、存储等</w:t>
      </w:r>
    </w:p>
    <w:p w14:paraId="243464B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4391"/>
      <w:r>
        <w:rPr>
          <w:rFonts w:hint="eastAsia"/>
        </w:rPr>
        <w:t>容量基线</w:t>
      </w:r>
      <w:bookmarkEnd w:id="16"/>
    </w:p>
    <w:p w14:paraId="713C79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在特定时间点建立的系统性能和容量使用基准</w:t>
      </w:r>
    </w:p>
    <w:p w14:paraId="48D99F0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0946"/>
      <w:r>
        <w:rPr>
          <w:rFonts w:hint="eastAsia"/>
          <w:lang w:val="en-US" w:eastAsia="zh-CN"/>
        </w:rPr>
        <w:t>管理内容与要求</w:t>
      </w:r>
      <w:bookmarkEnd w:id="17"/>
    </w:p>
    <w:p w14:paraId="214D23AC">
      <w:pPr>
        <w:pStyle w:val="30"/>
        <w:bidi w:val="0"/>
        <w:rPr>
          <w:rFonts w:hint="default"/>
          <w:lang w:val="en-US" w:eastAsia="zh-CN"/>
        </w:rPr>
      </w:pPr>
      <w:bookmarkStart w:id="18" w:name="_Toc12762"/>
      <w:r>
        <w:rPr>
          <w:rFonts w:hint="default"/>
          <w:lang w:val="en-US" w:eastAsia="zh-CN"/>
        </w:rPr>
        <w:t>容量规划管理</w:t>
      </w:r>
      <w:bookmarkEnd w:id="18"/>
    </w:p>
    <w:p w14:paraId="1F98028D">
      <w:pPr>
        <w:pStyle w:val="31"/>
        <w:bidi w:val="0"/>
        <w:rPr>
          <w:rFonts w:hint="default"/>
          <w:lang w:val="en-US" w:eastAsia="zh-CN"/>
        </w:rPr>
      </w:pPr>
      <w:bookmarkStart w:id="19" w:name="_Toc30042"/>
      <w:r>
        <w:rPr>
          <w:rFonts w:hint="default"/>
          <w:lang w:val="en-US" w:eastAsia="zh-CN"/>
        </w:rPr>
        <w:t>业务需求分析</w:t>
      </w:r>
      <w:bookmarkEnd w:id="19"/>
    </w:p>
    <w:p w14:paraId="1678C4B3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每季度与业务部门沟通，收集业务发展计划和预测</w:t>
      </w:r>
    </w:p>
    <w:p w14:paraId="00E6E84C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分析历史业务数据，识别业务增长趋势和季节性特征</w:t>
      </w:r>
    </w:p>
    <w:p w14:paraId="1EB19BB4">
      <w:pPr>
        <w:pStyle w:val="29"/>
        <w:numPr>
          <w:ilvl w:val="0"/>
          <w:numId w:val="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将业务需求转化为技术资源需求，建立业务量与资源使用的关联模型</w:t>
      </w:r>
    </w:p>
    <w:p w14:paraId="15BECC13">
      <w:pPr>
        <w:pStyle w:val="31"/>
        <w:bidi w:val="0"/>
        <w:rPr>
          <w:rFonts w:hint="default"/>
          <w:lang w:val="en-US" w:eastAsia="zh-CN"/>
        </w:rPr>
      </w:pPr>
      <w:bookmarkStart w:id="20" w:name="_Toc438"/>
      <w:r>
        <w:rPr>
          <w:rFonts w:hint="default"/>
          <w:lang w:val="en-US" w:eastAsia="zh-CN"/>
        </w:rPr>
        <w:t>容量预测</w:t>
      </w:r>
      <w:bookmarkEnd w:id="20"/>
    </w:p>
    <w:p w14:paraId="674A69C7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基于业务预测和历史数据，预测未来资源需求</w:t>
      </w:r>
    </w:p>
    <w:p w14:paraId="65E955CE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使用趋势分析、统计模型等方法提高预测准确性</w:t>
      </w:r>
    </w:p>
    <w:p w14:paraId="3BEA09E2">
      <w:pPr>
        <w:pStyle w:val="29"/>
        <w:numPr>
          <w:ilvl w:val="0"/>
          <w:numId w:val="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识别可能的容量瓶颈和风险点</w:t>
      </w:r>
    </w:p>
    <w:p w14:paraId="09AA0C97">
      <w:pPr>
        <w:pStyle w:val="31"/>
        <w:bidi w:val="0"/>
        <w:rPr>
          <w:rFonts w:hint="default"/>
          <w:lang w:val="en-US" w:eastAsia="zh-CN"/>
        </w:rPr>
      </w:pPr>
      <w:bookmarkStart w:id="21" w:name="_Toc29820"/>
      <w:r>
        <w:rPr>
          <w:rFonts w:hint="default"/>
          <w:lang w:val="en-US" w:eastAsia="zh-CN"/>
        </w:rPr>
        <w:t>容量计划制定</w:t>
      </w:r>
      <w:bookmarkEnd w:id="21"/>
    </w:p>
    <w:p w14:paraId="1B64E060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编制年度容量计划，明确资源采购和扩容方案</w:t>
      </w:r>
    </w:p>
    <w:p w14:paraId="0CFABAD9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计划应包括实施时间表、资源需求和预算估算</w:t>
      </w:r>
    </w:p>
    <w:p w14:paraId="50B95FA7">
      <w:pPr>
        <w:pStyle w:val="29"/>
        <w:numPr>
          <w:ilvl w:val="0"/>
          <w:numId w:val="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定期评审和更新容量计划，确保与业务发展同步</w:t>
      </w:r>
    </w:p>
    <w:p w14:paraId="567EAD54">
      <w:pPr>
        <w:pStyle w:val="30"/>
        <w:bidi w:val="0"/>
        <w:rPr>
          <w:rFonts w:hint="default"/>
          <w:lang w:val="en-US" w:eastAsia="zh-CN"/>
        </w:rPr>
      </w:pPr>
      <w:bookmarkStart w:id="22" w:name="_Toc16203"/>
      <w:r>
        <w:rPr>
          <w:rFonts w:hint="default"/>
          <w:lang w:val="en-US" w:eastAsia="zh-CN"/>
        </w:rPr>
        <w:t>容量监控管理</w:t>
      </w:r>
      <w:bookmarkEnd w:id="22"/>
    </w:p>
    <w:p w14:paraId="4C4D3C19">
      <w:pPr>
        <w:pStyle w:val="31"/>
        <w:bidi w:val="0"/>
        <w:rPr>
          <w:rFonts w:hint="default"/>
          <w:lang w:val="en-US" w:eastAsia="zh-CN"/>
        </w:rPr>
      </w:pPr>
      <w:bookmarkStart w:id="23" w:name="_Toc30064"/>
      <w:r>
        <w:rPr>
          <w:rFonts w:hint="default"/>
          <w:lang w:val="en-US" w:eastAsia="zh-CN"/>
        </w:rPr>
        <w:t>监控指标体系</w:t>
      </w:r>
      <w:bookmarkEnd w:id="23"/>
    </w:p>
    <w:p w14:paraId="21D225D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建立完整的容量监控指标体系，包括：</w:t>
      </w:r>
    </w:p>
    <w:p w14:paraId="7142BE32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计算资源：CPU使用率、内存使用率、虚拟机密度</w:t>
      </w:r>
    </w:p>
    <w:p w14:paraId="06B9D3D9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存储资源：存储空间使用率、IOPS、读写延迟</w:t>
      </w:r>
    </w:p>
    <w:p w14:paraId="24CA4E66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网络资源：带宽使用率、网络延迟、丢包率</w:t>
      </w:r>
    </w:p>
    <w:p w14:paraId="11C85153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应用性能：并发用户数、事务响应时间、吞吐量</w:t>
      </w:r>
    </w:p>
    <w:p w14:paraId="7DB2BBB9">
      <w:pPr>
        <w:pStyle w:val="31"/>
        <w:bidi w:val="0"/>
        <w:rPr>
          <w:rFonts w:hint="default"/>
          <w:lang w:val="en-US" w:eastAsia="zh-CN"/>
        </w:rPr>
      </w:pPr>
      <w:bookmarkStart w:id="24" w:name="_Toc20345"/>
      <w:r>
        <w:rPr>
          <w:rFonts w:hint="default"/>
          <w:lang w:val="en-US" w:eastAsia="zh-CN"/>
        </w:rPr>
        <w:t>监控数据收集</w:t>
      </w:r>
      <w:bookmarkEnd w:id="24"/>
    </w:p>
    <w:p w14:paraId="1B2CE4FC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实施7×24小时容量监控，数据采集频率不低于5分钟</w:t>
      </w:r>
    </w:p>
    <w:p w14:paraId="5AEBAF81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确保监控数据的完整性和准确性</w:t>
      </w:r>
    </w:p>
    <w:p w14:paraId="0F23C6C2">
      <w:pPr>
        <w:pStyle w:val="29"/>
        <w:numPr>
          <w:ilvl w:val="0"/>
          <w:numId w:val="1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监控数据保存期限不少于13个月</w:t>
      </w:r>
    </w:p>
    <w:p w14:paraId="7FDAC5C2">
      <w:pPr>
        <w:pStyle w:val="31"/>
        <w:bidi w:val="0"/>
        <w:rPr>
          <w:rFonts w:hint="default"/>
          <w:lang w:val="en-US" w:eastAsia="zh-CN"/>
        </w:rPr>
      </w:pPr>
      <w:bookmarkStart w:id="25" w:name="_Toc19297"/>
      <w:r>
        <w:rPr>
          <w:rFonts w:hint="default"/>
          <w:lang w:val="en-US" w:eastAsia="zh-CN"/>
        </w:rPr>
        <w:t>阈值管理</w:t>
      </w:r>
      <w:bookmarkEnd w:id="25"/>
    </w:p>
    <w:p w14:paraId="13CB34D5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设置多级预警阈值（警告、严重、紧急）</w:t>
      </w:r>
    </w:p>
    <w:p w14:paraId="0A71009C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定期评审和优化阈值设置</w:t>
      </w:r>
    </w:p>
    <w:p w14:paraId="34366244">
      <w:pPr>
        <w:pStyle w:val="29"/>
        <w:numPr>
          <w:ilvl w:val="0"/>
          <w:numId w:val="1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建立阈值触发后的应急响应流程</w:t>
      </w:r>
    </w:p>
    <w:p w14:paraId="41D3D876">
      <w:pPr>
        <w:pStyle w:val="30"/>
        <w:bidi w:val="0"/>
        <w:rPr>
          <w:rFonts w:hint="default"/>
          <w:lang w:val="en-US" w:eastAsia="zh-CN"/>
        </w:rPr>
      </w:pPr>
      <w:bookmarkStart w:id="26" w:name="_Toc31563"/>
      <w:r>
        <w:rPr>
          <w:rFonts w:hint="default"/>
          <w:lang w:val="en-US" w:eastAsia="zh-CN"/>
        </w:rPr>
        <w:t>容量分析管理</w:t>
      </w:r>
      <w:bookmarkEnd w:id="26"/>
    </w:p>
    <w:p w14:paraId="0F3A4CFD">
      <w:pPr>
        <w:pStyle w:val="31"/>
        <w:bidi w:val="0"/>
        <w:rPr>
          <w:rFonts w:hint="default"/>
          <w:lang w:val="en-US" w:eastAsia="zh-CN"/>
        </w:rPr>
      </w:pPr>
      <w:bookmarkStart w:id="27" w:name="_Toc31640"/>
      <w:r>
        <w:rPr>
          <w:rFonts w:hint="default"/>
          <w:lang w:val="en-US" w:eastAsia="zh-CN"/>
        </w:rPr>
        <w:t>性能数据分析</w:t>
      </w:r>
      <w:bookmarkEnd w:id="27"/>
    </w:p>
    <w:p w14:paraId="2ABC920C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每周分析关键性能指标，识别异常趋势</w:t>
      </w:r>
    </w:p>
    <w:p w14:paraId="44A474C2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分析资源使用模式，优化资源配置</w:t>
      </w:r>
    </w:p>
    <w:p w14:paraId="30AB31C2">
      <w:pPr>
        <w:pStyle w:val="29"/>
        <w:numPr>
          <w:ilvl w:val="0"/>
          <w:numId w:val="1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建立性能基线，及时发现性能偏离</w:t>
      </w:r>
    </w:p>
    <w:p w14:paraId="1103BA62">
      <w:pPr>
        <w:pStyle w:val="31"/>
        <w:bidi w:val="0"/>
        <w:rPr>
          <w:rFonts w:hint="default"/>
          <w:lang w:val="en-US" w:eastAsia="zh-CN"/>
        </w:rPr>
      </w:pPr>
      <w:bookmarkStart w:id="28" w:name="_Toc6594"/>
      <w:r>
        <w:rPr>
          <w:rFonts w:hint="default"/>
          <w:lang w:val="en-US" w:eastAsia="zh-CN"/>
        </w:rPr>
        <w:t>容量报告</w:t>
      </w:r>
      <w:bookmarkEnd w:id="28"/>
    </w:p>
    <w:p w14:paraId="4A1650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每月编制容量管理报告，内容包括：</w:t>
      </w:r>
    </w:p>
    <w:p w14:paraId="47CDB3F8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资源使用情况和趋势分析</w:t>
      </w:r>
    </w:p>
    <w:p w14:paraId="39655FAB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容量预警和风险提示</w:t>
      </w:r>
    </w:p>
    <w:p w14:paraId="79E3D1C2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优化建议和实施效果</w:t>
      </w:r>
    </w:p>
    <w:p w14:paraId="53121A92">
      <w:pPr>
        <w:pStyle w:val="29"/>
        <w:numPr>
          <w:ilvl w:val="0"/>
          <w:numId w:val="1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下阶段容量规划建议</w:t>
      </w:r>
    </w:p>
    <w:p w14:paraId="293D3B09">
      <w:pPr>
        <w:pStyle w:val="31"/>
        <w:bidi w:val="0"/>
        <w:rPr>
          <w:rFonts w:hint="default"/>
          <w:lang w:val="en-US" w:eastAsia="zh-CN"/>
        </w:rPr>
      </w:pPr>
      <w:bookmarkStart w:id="29" w:name="_Toc13440"/>
      <w:r>
        <w:rPr>
          <w:rFonts w:hint="default"/>
          <w:lang w:val="en-US" w:eastAsia="zh-CN"/>
        </w:rPr>
        <w:t>容量优化</w:t>
      </w:r>
      <w:bookmarkEnd w:id="29"/>
    </w:p>
    <w:p w14:paraId="18584D0B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识别资源利用率过低或过高的系统</w:t>
      </w:r>
    </w:p>
    <w:p w14:paraId="6CD4558D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提出资源调配或扩容建议</w:t>
      </w:r>
    </w:p>
    <w:p w14:paraId="0C4F8C7C">
      <w:pPr>
        <w:pStyle w:val="29"/>
        <w:numPr>
          <w:ilvl w:val="0"/>
          <w:numId w:val="1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实施资源优化措施，跟踪优化效果</w:t>
      </w:r>
    </w:p>
    <w:p w14:paraId="319D40BF">
      <w:pPr>
        <w:pStyle w:val="30"/>
        <w:bidi w:val="0"/>
        <w:rPr>
          <w:rFonts w:hint="default"/>
          <w:lang w:val="en-US" w:eastAsia="zh-CN"/>
        </w:rPr>
      </w:pPr>
      <w:bookmarkStart w:id="30" w:name="_Toc19782"/>
      <w:r>
        <w:rPr>
          <w:rFonts w:hint="default"/>
          <w:lang w:val="en-US" w:eastAsia="zh-CN"/>
        </w:rPr>
        <w:t>容量变更管理</w:t>
      </w:r>
      <w:bookmarkEnd w:id="30"/>
    </w:p>
    <w:p w14:paraId="41ECC6EF">
      <w:pPr>
        <w:pStyle w:val="31"/>
        <w:bidi w:val="0"/>
        <w:rPr>
          <w:rFonts w:hint="default"/>
          <w:lang w:val="en-US" w:eastAsia="zh-CN"/>
        </w:rPr>
      </w:pPr>
      <w:bookmarkStart w:id="31" w:name="_Toc11747"/>
      <w:r>
        <w:rPr>
          <w:rFonts w:hint="default"/>
          <w:lang w:val="en-US" w:eastAsia="zh-CN"/>
        </w:rPr>
        <w:t>变更影响评估</w:t>
      </w:r>
      <w:bookmarkEnd w:id="31"/>
    </w:p>
    <w:p w14:paraId="2AE85C4E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对所有可能影响容量的变更进行容量影响评估</w:t>
      </w:r>
    </w:p>
    <w:p w14:paraId="14D9F1D2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评估内容包括性能影响、资源需求等</w:t>
      </w:r>
    </w:p>
    <w:p w14:paraId="52930298">
      <w:pPr>
        <w:pStyle w:val="29"/>
        <w:numPr>
          <w:ilvl w:val="0"/>
          <w:numId w:val="16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根据评估结果制定相应的容量保障措施</w:t>
      </w:r>
    </w:p>
    <w:p w14:paraId="30E6F934">
      <w:pPr>
        <w:pStyle w:val="31"/>
        <w:bidi w:val="0"/>
        <w:rPr>
          <w:rFonts w:hint="default"/>
          <w:lang w:val="en-US" w:eastAsia="zh-CN"/>
        </w:rPr>
      </w:pPr>
      <w:bookmarkStart w:id="32" w:name="_Toc6513"/>
      <w:r>
        <w:rPr>
          <w:rFonts w:hint="default"/>
          <w:lang w:val="en-US" w:eastAsia="zh-CN"/>
        </w:rPr>
        <w:t>扩容管理</w:t>
      </w:r>
      <w:bookmarkEnd w:id="32"/>
    </w:p>
    <w:p w14:paraId="2C661AC7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建立标准化的扩容流程</w:t>
      </w:r>
    </w:p>
    <w:p w14:paraId="30B75365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确保扩容过程不影响现有服务</w:t>
      </w:r>
    </w:p>
    <w:p w14:paraId="6C2426B4">
      <w:pPr>
        <w:pStyle w:val="29"/>
        <w:numPr>
          <w:ilvl w:val="0"/>
          <w:numId w:val="17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扩容后验证容量提升效果</w:t>
      </w:r>
    </w:p>
    <w:p w14:paraId="7AEF7C3E">
      <w:pPr>
        <w:pStyle w:val="30"/>
        <w:bidi w:val="0"/>
        <w:rPr>
          <w:rFonts w:hint="default"/>
          <w:lang w:val="en-US" w:eastAsia="zh-CN"/>
        </w:rPr>
      </w:pPr>
      <w:bookmarkStart w:id="33" w:name="_Toc17412"/>
      <w:r>
        <w:rPr>
          <w:rFonts w:hint="default"/>
          <w:lang w:val="en-US" w:eastAsia="zh-CN"/>
        </w:rPr>
        <w:t>关键控制点与测量指标</w:t>
      </w:r>
      <w:bookmarkEnd w:id="33"/>
    </w:p>
    <w:p w14:paraId="3D77ED66">
      <w:pPr>
        <w:pStyle w:val="31"/>
        <w:bidi w:val="0"/>
        <w:rPr>
          <w:rFonts w:hint="default"/>
          <w:lang w:val="en-US" w:eastAsia="zh-CN"/>
        </w:rPr>
      </w:pPr>
      <w:bookmarkStart w:id="34" w:name="_Toc31816"/>
      <w:r>
        <w:rPr>
          <w:rFonts w:hint="default"/>
          <w:lang w:val="en-US" w:eastAsia="zh-CN"/>
        </w:rPr>
        <w:t>关键控制点</w:t>
      </w:r>
      <w:bookmarkEnd w:id="34"/>
    </w:p>
    <w:p w14:paraId="1A51D88B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所有关键系统必须建立容量基线和监控机制</w:t>
      </w:r>
    </w:p>
    <w:p w14:paraId="52D655E1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业务容量需求必须经过评审并纳入容量规划</w:t>
      </w:r>
    </w:p>
    <w:p w14:paraId="11B03C09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容量预警必须及时处理并跟踪解决</w:t>
      </w:r>
    </w:p>
    <w:p w14:paraId="6DAEE011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所有容量变更必须经过影响评估和审批</w:t>
      </w:r>
    </w:p>
    <w:p w14:paraId="680B7E79">
      <w:pPr>
        <w:pStyle w:val="29"/>
        <w:numPr>
          <w:ilvl w:val="0"/>
          <w:numId w:val="18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容量报告必须定期提交并用于管理决策</w:t>
      </w:r>
    </w:p>
    <w:p w14:paraId="515C2C80">
      <w:pPr>
        <w:pStyle w:val="31"/>
        <w:bidi w:val="0"/>
        <w:rPr>
          <w:rFonts w:hint="default"/>
          <w:lang w:val="en-US" w:eastAsia="zh-CN"/>
        </w:rPr>
      </w:pPr>
      <w:bookmarkStart w:id="35" w:name="_Toc27769"/>
      <w:r>
        <w:rPr>
          <w:rFonts w:hint="default"/>
          <w:lang w:val="en-US" w:eastAsia="zh-CN"/>
        </w:rPr>
        <w:t>持续改进</w:t>
      </w:r>
      <w:bookmarkEnd w:id="35"/>
    </w:p>
    <w:p w14:paraId="6C6FB8DF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定期评审容量管理流程的有效性</w:t>
      </w:r>
    </w:p>
    <w:p w14:paraId="43ED412C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分析容量管理指标，识别改进机会</w:t>
      </w:r>
    </w:p>
    <w:p w14:paraId="3ACB3BB8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优化容量管理工具和方法</w:t>
      </w:r>
    </w:p>
    <w:p w14:paraId="1CFDF2CC">
      <w:pPr>
        <w:pStyle w:val="29"/>
        <w:numPr>
          <w:ilvl w:val="0"/>
          <w:numId w:val="19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分享容量管理最佳实践</w:t>
      </w:r>
    </w:p>
    <w:p w14:paraId="1D7EA858">
      <w:pPr>
        <w:pStyle w:val="31"/>
        <w:bidi w:val="0"/>
        <w:rPr>
          <w:rFonts w:hint="default"/>
          <w:lang w:val="en-US" w:eastAsia="zh-CN"/>
        </w:rPr>
      </w:pPr>
      <w:bookmarkStart w:id="36" w:name="_Toc19997"/>
      <w:r>
        <w:rPr>
          <w:rFonts w:hint="eastAsia"/>
          <w:lang w:val="en-US" w:eastAsia="zh-CN"/>
        </w:rPr>
        <w:t>过程测量指标</w:t>
      </w:r>
      <w:bookmarkEnd w:id="36"/>
    </w:p>
    <w:p w14:paraId="67342F9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容量测量指标如表4-1所示</w:t>
      </w:r>
    </w:p>
    <w:p w14:paraId="19894DEC">
      <w:pPr>
        <w:pStyle w:val="29"/>
        <w:ind w:left="0" w:leftChars="0" w:right="0" w:righ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 w14:paraId="3C407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6A88E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 w14:paraId="3E7D68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 w14:paraId="7FC9FC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46BAA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3BC74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7C4C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782634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 w14:paraId="09D50282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602" w:type="dxa"/>
          </w:tcPr>
          <w:p w14:paraId="50F9B307">
            <w:pPr>
              <w:pStyle w:val="29"/>
              <w:widowControl w:val="0"/>
              <w:ind w:left="0" w:leftChars="0" w:firstLine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因容量不足导致的服务事件数量</w:t>
            </w:r>
          </w:p>
        </w:tc>
        <w:tc>
          <w:tcPr>
            <w:tcW w:w="1107" w:type="dxa"/>
          </w:tcPr>
          <w:p w14:paraId="68A160D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 w14:paraId="39EB40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≤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次</w:t>
            </w:r>
          </w:p>
        </w:tc>
      </w:tr>
    </w:tbl>
    <w:p w14:paraId="21FCAF6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37" w:name="bookmark3"/>
      <w:bookmarkEnd w:id="37"/>
      <w:bookmarkStart w:id="38" w:name="_Toc23290"/>
      <w:bookmarkStart w:id="39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38"/>
      <w:bookmarkEnd w:id="39"/>
    </w:p>
    <w:p w14:paraId="10CE3A56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023748F"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EFE744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bookmark14"/>
      <w:bookmarkEnd w:id="40"/>
      <w:bookmarkStart w:id="41" w:name="_Toc1461"/>
      <w:r>
        <w:rPr>
          <w:rFonts w:hint="eastAsia"/>
          <w:lang w:val="en-US" w:eastAsia="zh-CN"/>
        </w:rPr>
        <w:t>附件</w:t>
      </w:r>
      <w:bookmarkEnd w:id="41"/>
    </w:p>
    <w:p w14:paraId="1AC6B96D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《容量监控指标清单》</w:t>
      </w:r>
    </w:p>
    <w:p w14:paraId="6C7B437B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《容量计划模板》</w:t>
      </w:r>
    </w:p>
    <w:p w14:paraId="649CFFBA">
      <w:pPr>
        <w:pStyle w:val="29"/>
        <w:numPr>
          <w:ilvl w:val="0"/>
          <w:numId w:val="2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《容量分析报告模板》</w:t>
      </w:r>
    </w:p>
    <w:p w14:paraId="7458EC0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2" w:name="_Toc7551"/>
      <w:r>
        <w:rPr>
          <w:rFonts w:hint="eastAsia"/>
          <w:lang w:val="en-US" w:eastAsia="zh-CN"/>
        </w:rPr>
        <w:t>记录</w:t>
      </w:r>
      <w:bookmarkEnd w:id="42"/>
    </w:p>
    <w:p w14:paraId="667F88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容量管理过程中产生的所有记录，包括但不限于容量计划、监控数据、分析报告、评审记录等，应由运维部统一保存，保存期限不少于3年。</w:t>
      </w:r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B530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12BE2"/>
    <w:multiLevelType w:val="singleLevel"/>
    <w:tmpl w:val="98412B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A2555"/>
    <w:multiLevelType w:val="singleLevel"/>
    <w:tmpl w:val="99AA255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EA6D05"/>
    <w:multiLevelType w:val="singleLevel"/>
    <w:tmpl w:val="9BEA6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70DE481"/>
    <w:multiLevelType w:val="singleLevel"/>
    <w:tmpl w:val="A70DE4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59D14"/>
    <w:multiLevelType w:val="singleLevel"/>
    <w:tmpl w:val="AF159D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250646"/>
    <w:multiLevelType w:val="singleLevel"/>
    <w:tmpl w:val="B225064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9A65FE5"/>
    <w:multiLevelType w:val="singleLevel"/>
    <w:tmpl w:val="C9A65FE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9B4AE97"/>
    <w:multiLevelType w:val="singleLevel"/>
    <w:tmpl w:val="D9B4A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8B3FEB"/>
    <w:multiLevelType w:val="singleLevel"/>
    <w:tmpl w:val="DA8B3F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CA21F5B"/>
    <w:multiLevelType w:val="singleLevel"/>
    <w:tmpl w:val="ECA21F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F60BCC1"/>
    <w:multiLevelType w:val="singleLevel"/>
    <w:tmpl w:val="1F60BC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6CBF864"/>
    <w:multiLevelType w:val="singleLevel"/>
    <w:tmpl w:val="36CBF86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71459D"/>
    <w:multiLevelType w:val="singleLevel"/>
    <w:tmpl w:val="4371459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8463229"/>
    <w:multiLevelType w:val="singleLevel"/>
    <w:tmpl w:val="584632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1251AAA"/>
    <w:multiLevelType w:val="singleLevel"/>
    <w:tmpl w:val="61251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CEF58F"/>
    <w:multiLevelType w:val="singleLevel"/>
    <w:tmpl w:val="6CCEF58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94B4B5"/>
    <w:multiLevelType w:val="singleLevel"/>
    <w:tmpl w:val="6D94B4B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F86BBDA"/>
    <w:multiLevelType w:val="singleLevel"/>
    <w:tmpl w:val="6F86BB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25501F4"/>
    <w:multiLevelType w:val="singleLevel"/>
    <w:tmpl w:val="725501F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8"/>
  </w:num>
  <w:num w:numId="5">
    <w:abstractNumId w:val="2"/>
  </w:num>
  <w:num w:numId="6">
    <w:abstractNumId w:val="5"/>
  </w:num>
  <w:num w:numId="7">
    <w:abstractNumId w:val="15"/>
  </w:num>
  <w:num w:numId="8">
    <w:abstractNumId w:val="8"/>
  </w:num>
  <w:num w:numId="9">
    <w:abstractNumId w:val="17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20"/>
  </w:num>
  <w:num w:numId="15">
    <w:abstractNumId w:val="1"/>
  </w:num>
  <w:num w:numId="16">
    <w:abstractNumId w:val="3"/>
  </w:num>
  <w:num w:numId="17">
    <w:abstractNumId w:val="13"/>
  </w:num>
  <w:num w:numId="18">
    <w:abstractNumId w:val="10"/>
  </w:num>
  <w:num w:numId="19">
    <w:abstractNumId w:val="19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E1A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1987</Words>
  <Characters>2250</Characters>
  <Lines>0</Lines>
  <Paragraphs>0</Paragraphs>
  <TotalTime>5</TotalTime>
  <ScaleCrop>false</ScaleCrop>
  <LinksUpToDate>false</LinksUpToDate>
  <CharactersWithSpaces>2423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2026-05-25T03:41:23Z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