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464F4B">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7908"/>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8">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重庆市鹧鸪哨信息技术有限责任公司</w:t>
      </w:r>
      <w:bookmarkEnd w:id="0"/>
    </w:p>
    <w:p w14:paraId="0278B237">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4090"/>
      <w:r>
        <w:rPr>
          <w:rFonts w:hint="eastAsia"/>
          <w:lang w:val="en-US" w:eastAsia="zh-CN"/>
        </w:rPr>
        <w:t>信息安全管理制度</w:t>
      </w:r>
      <w:bookmarkEnd w:id="1"/>
    </w:p>
    <w:p w14:paraId="1ADC79C6">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文件编号：ZGS-06-11</w:t>
      </w:r>
      <w:r>
        <w:rPr>
          <w:rFonts w:hint="eastAsia" w:ascii="宋体" w:hAnsi="宋体" w:eastAsia="宋体" w:cs="宋体"/>
          <w:b/>
          <w:bCs/>
          <w:spacing w:val="-3"/>
          <w:sz w:val="24"/>
          <w:szCs w:val="24"/>
          <w:lang w:val="en-US" w:eastAsia="zh-CN"/>
        </w:rPr>
      </w:r>
      <w:r>
        <w:rPr>
          <w:rFonts w:ascii="宋体" w:hAnsi="宋体" w:eastAsia="宋体" w:cs="宋体"/>
          <w:b/>
          <w:bCs/>
          <w:spacing w:val="-3"/>
          <w:sz w:val="24"/>
          <w:szCs w:val="24"/>
        </w:rPr>
      </w:r>
      <w:r>
        <w:rPr>
          <w:rFonts w:hint="eastAsia" w:ascii="宋体" w:hAnsi="宋体" w:cs="宋体"/>
          <w:b/>
          <w:bCs/>
          <w:spacing w:val="-3"/>
          <w:sz w:val="24"/>
          <w:szCs w:val="24"/>
          <w:lang w:val="en-US" w:eastAsia="zh-CN"/>
        </w:rPr>
      </w:r>
      <w:r>
        <w:rPr>
          <w:rFonts w:ascii="宋体" w:hAnsi="宋体" w:eastAsia="宋体" w:cs="宋体"/>
          <w:b/>
          <w:bCs/>
          <w:spacing w:val="-3"/>
          <w:sz w:val="24"/>
          <w:szCs w:val="24"/>
        </w:rPr>
      </w:r>
      <w:r>
        <w:rPr>
          <w:rFonts w:hint="eastAsia" w:ascii="宋体" w:hAnsi="宋体" w:cs="宋体"/>
          <w:b/>
          <w:bCs/>
          <w:spacing w:val="-3"/>
          <w:sz w:val="24"/>
          <w:szCs w:val="24"/>
          <w:lang w:val="en-US" w:eastAsia="zh-CN"/>
        </w:rPr>
      </w:r>
      <w:r>
        <w:rPr>
          <w:rFonts w:ascii="宋体" w:hAnsi="宋体" w:eastAsia="宋体" w:cs="宋体"/>
          <w:b/>
          <w:bCs/>
          <w:spacing w:val="-3"/>
          <w:sz w:val="24"/>
          <w:szCs w:val="24"/>
        </w:rPr>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114184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1122E154">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运维部</w:t>
            </w:r>
          </w:p>
        </w:tc>
        <w:tc>
          <w:tcPr>
            <w:tcW w:w="2708" w:type="dxa"/>
          </w:tcPr>
          <w:p w14:paraId="445329B9">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26EE7B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15F2903C">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11C4A11D">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w:t>
            </w:r>
            <w:bookmarkStart w:id="30" w:name="_GoBack"/>
            <w:bookmarkEnd w:id="30"/>
            <w:r>
              <w:rPr>
                <w:rFonts w:hint="eastAsia"/>
                <w:vertAlign w:val="baseline"/>
                <w:lang w:val="en-US" w:eastAsia="zh-CN"/>
              </w:rPr>
              <w:t>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47AE86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15448D73">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批准人:宋海滨</w:t>
            </w:r>
            <w:r>
              <w:rPr>
                <w:rFonts w:hint="eastAsia"/>
                <w:spacing w:val="1"/>
                <w:kern w:val="0"/>
                <w:vertAlign w:val="baseline"/>
                <w:lang w:val="en-US" w:eastAsia="zh-CN"/>
              </w:rPr>
            </w:r>
            <w:r>
              <w:rPr>
                <w:rFonts w:hint="eastAsia" w:asciiTheme="minorAscii" w:hAnsiTheme="minorAscii" w:eastAsiaTheme="minorEastAsia"/>
                <w:spacing w:val="227"/>
                <w:sz w:val="21"/>
                <w:vertAlign w:val="baseline"/>
                <w:lang w:val="en-US" w:eastAsia="zh-CN"/>
              </w:rPr>
            </w:r>
            <w:r>
              <w:rPr>
                <w:rFonts w:hint="eastAsia"/>
                <w:u w:val="single"/>
                <w:lang w:val="en-US" w:eastAsia="zh-CN"/>
              </w:rPr>
            </w:r>
          </w:p>
        </w:tc>
        <w:tc>
          <w:tcPr>
            <w:tcW w:w="2708" w:type="dxa"/>
          </w:tcPr>
          <w:p w14:paraId="52881F80">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592E3314">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275EA44E">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7137"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689"/>
        <w:gridCol w:w="919"/>
        <w:gridCol w:w="2289"/>
        <w:gridCol w:w="1240"/>
      </w:tblGrid>
      <w:tr w14:paraId="59F9282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2689" w:type="dxa"/>
          </w:tcPr>
          <w:p w14:paraId="2153EFFB">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6BE00544">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144C04E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240" w:type="dxa"/>
          </w:tcPr>
          <w:p w14:paraId="1FC207C3">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6A03508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2689" w:type="dxa"/>
          </w:tcPr>
          <w:p w14:paraId="774336F6">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eastAsia="zh-CN"/>
              </w:rPr>
            </w:pPr>
            <w:r>
              <w:rPr>
                <w:rFonts w:ascii="宋体" w:hAnsi="宋体" w:eastAsia="宋体" w:cs="宋体"/>
                <w:spacing w:val="3"/>
                <w:position w:val="1"/>
                <w:sz w:val="20"/>
                <w:szCs w:val="20"/>
              </w:rPr>
              <w:t>2025.01.</w:t>
            </w:r>
            <w:r>
              <w:rPr>
                <w:rFonts w:hint="eastAsia" w:ascii="宋体" w:hAnsi="宋体" w:cs="宋体"/>
                <w:spacing w:val="3"/>
                <w:position w:val="1"/>
                <w:sz w:val="20"/>
                <w:szCs w:val="20"/>
                <w:lang w:val="en-US" w:eastAsia="zh-CN"/>
              </w:rPr>
              <w:t>10</w:t>
            </w:r>
          </w:p>
        </w:tc>
        <w:tc>
          <w:tcPr>
            <w:tcW w:w="919" w:type="dxa"/>
          </w:tcPr>
          <w:p w14:paraId="392AF52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146CF9AF">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新建</w:t>
            </w:r>
          </w:p>
        </w:tc>
        <w:tc>
          <w:tcPr>
            <w:tcW w:w="1240" w:type="dxa"/>
          </w:tcPr>
          <w:p w14:paraId="6B7A9A62">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lang w:val="en-US" w:eastAsia="zh-CN"/>
              </w:rPr>
              <w:t>宋海滨</w:t>
            </w:r>
          </w:p>
        </w:tc>
      </w:tr>
      <w:tr w14:paraId="26DF787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714E49D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73AC71F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56A509F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7A2142BC">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37D2157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600416E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713C0C4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4534C68C">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596FC05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421DE39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2689" w:type="dxa"/>
          </w:tcPr>
          <w:p w14:paraId="7BC0D83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0B23D1EB">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5E64C7A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2A85C9D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68252BA9">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77E20842">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327E5665">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_Toc17908 </w:instrText>
          </w:r>
          <w:r>
            <w:rPr>
              <w:rFonts w:hint="eastAsia" w:ascii="宋体" w:hAnsi="宋体" w:eastAsia="宋体" w:cs="宋体"/>
              <w:szCs w:val="24"/>
            </w:rPr>
            <w:fldChar w:fldCharType="separate"/>
          </w:r>
          <w:r>
            <w:rPr>
              <w:rFonts w:hint="eastAsia"/>
              <w:lang w:val="en-US" w:eastAsia="zh-CN"/>
            </w:rPr>
            <w:t>重庆市鹧鸪哨信息技术有限责任公司</w:t>
          </w:r>
          <w:r>
            <w:tab/>
          </w:r>
          <w:r>
            <w:fldChar w:fldCharType="begin"/>
          </w:r>
          <w:r>
            <w:instrText xml:space="preserve"> PAGEREF _Toc17908 \h </w:instrText>
          </w:r>
          <w:r>
            <w:fldChar w:fldCharType="separate"/>
          </w:r>
          <w:r>
            <w:t>1</w:t>
          </w:r>
          <w:r>
            <w:fldChar w:fldCharType="end"/>
          </w:r>
          <w:r>
            <w:rPr>
              <w:rFonts w:hint="eastAsia" w:ascii="宋体" w:hAnsi="宋体" w:eastAsia="宋体" w:cs="宋体"/>
              <w:szCs w:val="24"/>
            </w:rPr>
            <w:fldChar w:fldCharType="end"/>
          </w:r>
        </w:p>
        <w:p w14:paraId="5DFEF34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_Toc4090 </w:instrText>
          </w:r>
          <w:r>
            <w:rPr>
              <w:rFonts w:hint="eastAsia" w:ascii="宋体" w:hAnsi="宋体" w:eastAsia="宋体" w:cs="宋体"/>
              <w:szCs w:val="24"/>
            </w:rPr>
            <w:fldChar w:fldCharType="separate"/>
          </w:r>
          <w:r>
            <w:rPr>
              <w:rFonts w:hint="eastAsia"/>
              <w:lang w:val="en-US" w:eastAsia="zh-CN"/>
            </w:rPr>
            <w:t>信息安全管理制度</w:t>
          </w:r>
          <w:r>
            <w:tab/>
          </w:r>
          <w:r>
            <w:fldChar w:fldCharType="begin"/>
          </w:r>
          <w:r>
            <w:instrText xml:space="preserve"> PAGEREF _Toc4090 \h </w:instrText>
          </w:r>
          <w:r>
            <w:fldChar w:fldCharType="separate"/>
          </w:r>
          <w:r>
            <w:t>1</w:t>
          </w:r>
          <w:r>
            <w:fldChar w:fldCharType="end"/>
          </w:r>
          <w:r>
            <w:rPr>
              <w:rFonts w:hint="eastAsia" w:ascii="宋体" w:hAnsi="宋体" w:eastAsia="宋体" w:cs="宋体"/>
              <w:szCs w:val="24"/>
            </w:rPr>
            <w:fldChar w:fldCharType="end"/>
          </w:r>
        </w:p>
        <w:p w14:paraId="2E8A7CB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_Toc29910 </w:instrText>
          </w:r>
          <w:r>
            <w:rPr>
              <w:rFonts w:hint="eastAsia" w:ascii="宋体" w:hAnsi="宋体" w:eastAsia="宋体" w:cs="宋体"/>
              <w:szCs w:val="24"/>
            </w:rPr>
            <w:fldChar w:fldCharType="separate"/>
          </w:r>
          <w:r>
            <w:rPr>
              <w:rFonts w:hint="default"/>
            </w:rPr>
            <w:t xml:space="preserve">1. </w:t>
          </w:r>
          <w:r>
            <w:rPr>
              <w:rFonts w:hint="eastAsia"/>
              <w:lang w:val="en-US" w:eastAsia="zh-CN"/>
            </w:rPr>
            <w:t>总则</w:t>
          </w:r>
          <w:r>
            <w:tab/>
          </w:r>
          <w:r>
            <w:fldChar w:fldCharType="begin"/>
          </w:r>
          <w:r>
            <w:instrText xml:space="preserve"> PAGEREF _Toc29910 \h </w:instrText>
          </w:r>
          <w:r>
            <w:fldChar w:fldCharType="separate"/>
          </w:r>
          <w:r>
            <w:t>4</w:t>
          </w:r>
          <w:r>
            <w:fldChar w:fldCharType="end"/>
          </w:r>
          <w:r>
            <w:rPr>
              <w:rFonts w:hint="eastAsia" w:ascii="宋体" w:hAnsi="宋体" w:eastAsia="宋体" w:cs="宋体"/>
              <w:szCs w:val="24"/>
            </w:rPr>
            <w:fldChar w:fldCharType="end"/>
          </w:r>
        </w:p>
        <w:p w14:paraId="08EC0C2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_Toc15018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_Toc15018 \h </w:instrText>
          </w:r>
          <w:r>
            <w:fldChar w:fldCharType="separate"/>
          </w:r>
          <w:r>
            <w:t>4</w:t>
          </w:r>
          <w:r>
            <w:fldChar w:fldCharType="end"/>
          </w:r>
          <w:r>
            <w:rPr>
              <w:rFonts w:hint="eastAsia" w:ascii="宋体" w:hAnsi="宋体" w:eastAsia="宋体" w:cs="宋体"/>
              <w:szCs w:val="24"/>
            </w:rPr>
            <w:fldChar w:fldCharType="end"/>
          </w:r>
        </w:p>
        <w:p w14:paraId="131B490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_Toc5224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_Toc5224 \h </w:instrText>
          </w:r>
          <w:r>
            <w:fldChar w:fldCharType="separate"/>
          </w:r>
          <w:r>
            <w:t>4</w:t>
          </w:r>
          <w:r>
            <w:fldChar w:fldCharType="end"/>
          </w:r>
          <w:r>
            <w:rPr>
              <w:rFonts w:hint="eastAsia" w:ascii="宋体" w:hAnsi="宋体" w:eastAsia="宋体" w:cs="宋体"/>
              <w:szCs w:val="24"/>
            </w:rPr>
            <w:fldChar w:fldCharType="end"/>
          </w:r>
        </w:p>
        <w:p w14:paraId="40F896E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_Toc11311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、原则</w:t>
          </w:r>
          <w:r>
            <w:tab/>
          </w:r>
          <w:r>
            <w:fldChar w:fldCharType="begin"/>
          </w:r>
          <w:r>
            <w:instrText xml:space="preserve"> PAGEREF _Toc11311 \h </w:instrText>
          </w:r>
          <w:r>
            <w:fldChar w:fldCharType="separate"/>
          </w:r>
          <w:r>
            <w:t>4</w:t>
          </w:r>
          <w:r>
            <w:fldChar w:fldCharType="end"/>
          </w:r>
          <w:r>
            <w:rPr>
              <w:rFonts w:hint="eastAsia" w:ascii="宋体" w:hAnsi="宋体" w:eastAsia="宋体" w:cs="宋体"/>
              <w:szCs w:val="24"/>
            </w:rPr>
            <w:fldChar w:fldCharType="end"/>
          </w:r>
        </w:p>
        <w:p w14:paraId="36C9771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_Toc16836 </w:instrText>
          </w:r>
          <w:r>
            <w:rPr>
              <w:rFonts w:hint="eastAsia" w:ascii="宋体" w:hAnsi="宋体" w:eastAsia="宋体" w:cs="宋体"/>
              <w:szCs w:val="24"/>
            </w:rPr>
            <w:fldChar w:fldCharType="separate"/>
          </w:r>
          <w:r>
            <w:rPr>
              <w:rFonts w:hint="default"/>
              <w:lang w:val="en-US" w:eastAsia="zh-CN"/>
            </w:rPr>
            <w:t xml:space="preserve">1.4. </w:t>
          </w:r>
          <w:r>
            <w:rPr>
              <w:rFonts w:hint="eastAsia"/>
              <w:lang w:val="en-US" w:eastAsia="zh-CN"/>
            </w:rPr>
            <w:t>岗位职责</w:t>
          </w:r>
          <w:r>
            <w:tab/>
          </w:r>
          <w:r>
            <w:fldChar w:fldCharType="begin"/>
          </w:r>
          <w:r>
            <w:instrText xml:space="preserve"> PAGEREF _Toc16836 \h </w:instrText>
          </w:r>
          <w:r>
            <w:fldChar w:fldCharType="separate"/>
          </w:r>
          <w:r>
            <w:t>4</w:t>
          </w:r>
          <w:r>
            <w:fldChar w:fldCharType="end"/>
          </w:r>
          <w:r>
            <w:rPr>
              <w:rFonts w:hint="eastAsia" w:ascii="宋体" w:hAnsi="宋体" w:eastAsia="宋体" w:cs="宋体"/>
              <w:szCs w:val="24"/>
            </w:rPr>
            <w:fldChar w:fldCharType="end"/>
          </w:r>
        </w:p>
        <w:p w14:paraId="6727A50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_Toc18041 </w:instrText>
          </w:r>
          <w:r>
            <w:rPr>
              <w:rFonts w:hint="eastAsia" w:ascii="宋体" w:hAnsi="宋体" w:eastAsia="宋体" w:cs="宋体"/>
              <w:szCs w:val="24"/>
            </w:rPr>
            <w:fldChar w:fldCharType="separate"/>
          </w:r>
          <w:r>
            <w:rPr>
              <w:rFonts w:hint="default"/>
              <w:lang w:val="en-US" w:eastAsia="zh-CN"/>
            </w:rPr>
            <w:t xml:space="preserve">1.4.1. </w:t>
          </w:r>
          <w:r>
            <w:rPr>
              <w:rFonts w:hint="eastAsia"/>
              <w:lang w:val="en-US" w:eastAsia="zh-CN"/>
            </w:rPr>
            <w:t>运维部部长</w:t>
          </w:r>
          <w:r>
            <w:tab/>
          </w:r>
          <w:r>
            <w:fldChar w:fldCharType="begin"/>
          </w:r>
          <w:r>
            <w:instrText xml:space="preserve"> PAGEREF _Toc18041 \h </w:instrText>
          </w:r>
          <w:r>
            <w:fldChar w:fldCharType="separate"/>
          </w:r>
          <w:r>
            <w:t>4</w:t>
          </w:r>
          <w:r>
            <w:fldChar w:fldCharType="end"/>
          </w:r>
          <w:r>
            <w:rPr>
              <w:rFonts w:hint="eastAsia" w:ascii="宋体" w:hAnsi="宋体" w:eastAsia="宋体" w:cs="宋体"/>
              <w:szCs w:val="24"/>
            </w:rPr>
            <w:fldChar w:fldCharType="end"/>
          </w:r>
        </w:p>
        <w:p w14:paraId="46675BD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_Toc4975 </w:instrText>
          </w:r>
          <w:r>
            <w:rPr>
              <w:rFonts w:hint="eastAsia" w:ascii="宋体" w:hAnsi="宋体" w:eastAsia="宋体" w:cs="宋体"/>
              <w:szCs w:val="24"/>
            </w:rPr>
            <w:fldChar w:fldCharType="separate"/>
          </w:r>
          <w:r>
            <w:rPr>
              <w:rFonts w:hint="default"/>
              <w:lang w:val="en-US" w:eastAsia="zh-CN"/>
            </w:rPr>
            <w:t xml:space="preserve">1.4.2. </w:t>
          </w:r>
          <w:r>
            <w:rPr>
              <w:rFonts w:hint="eastAsia"/>
              <w:lang w:val="en-US" w:eastAsia="zh-CN"/>
            </w:rPr>
            <w:t>运维工程师</w:t>
          </w:r>
          <w:r>
            <w:tab/>
          </w:r>
          <w:r>
            <w:fldChar w:fldCharType="begin"/>
          </w:r>
          <w:r>
            <w:instrText xml:space="preserve"> PAGEREF _Toc4975 \h </w:instrText>
          </w:r>
          <w:r>
            <w:fldChar w:fldCharType="separate"/>
          </w:r>
          <w:r>
            <w:t>4</w:t>
          </w:r>
          <w:r>
            <w:fldChar w:fldCharType="end"/>
          </w:r>
          <w:r>
            <w:rPr>
              <w:rFonts w:hint="eastAsia" w:ascii="宋体" w:hAnsi="宋体" w:eastAsia="宋体" w:cs="宋体"/>
              <w:szCs w:val="24"/>
            </w:rPr>
            <w:fldChar w:fldCharType="end"/>
          </w:r>
        </w:p>
        <w:p w14:paraId="7074A6B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_Toc22785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引用依据</w:t>
          </w:r>
          <w:r>
            <w:tab/>
          </w:r>
          <w:r>
            <w:fldChar w:fldCharType="begin"/>
          </w:r>
          <w:r>
            <w:instrText xml:space="preserve"> PAGEREF _Toc22785 \h </w:instrText>
          </w:r>
          <w:r>
            <w:fldChar w:fldCharType="separate"/>
          </w:r>
          <w:r>
            <w:t>5</w:t>
          </w:r>
          <w:r>
            <w:fldChar w:fldCharType="end"/>
          </w:r>
          <w:r>
            <w:rPr>
              <w:rFonts w:hint="eastAsia" w:ascii="宋体" w:hAnsi="宋体" w:eastAsia="宋体" w:cs="宋体"/>
              <w:szCs w:val="24"/>
            </w:rPr>
            <w:fldChar w:fldCharType="end"/>
          </w:r>
        </w:p>
        <w:p w14:paraId="056E59B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_Toc2523 </w:instrText>
          </w:r>
          <w:r>
            <w:rPr>
              <w:rFonts w:hint="eastAsia" w:ascii="宋体" w:hAnsi="宋体" w:eastAsia="宋体" w:cs="宋体"/>
              <w:szCs w:val="24"/>
            </w:rPr>
            <w:fldChar w:fldCharType="separate"/>
          </w:r>
          <w:r>
            <w:rPr>
              <w:rFonts w:hint="default"/>
            </w:rPr>
            <w:t xml:space="preserve">3. </w:t>
          </w:r>
          <w:r>
            <w:rPr>
              <w:rFonts w:hint="eastAsia"/>
              <w:lang w:val="en-US" w:eastAsia="zh-CN"/>
            </w:rPr>
            <w:t>定义与术语</w:t>
          </w:r>
          <w:r>
            <w:tab/>
          </w:r>
          <w:r>
            <w:fldChar w:fldCharType="begin"/>
          </w:r>
          <w:r>
            <w:instrText xml:space="preserve"> PAGEREF _Toc2523 \h </w:instrText>
          </w:r>
          <w:r>
            <w:fldChar w:fldCharType="separate"/>
          </w:r>
          <w:r>
            <w:t>5</w:t>
          </w:r>
          <w:r>
            <w:fldChar w:fldCharType="end"/>
          </w:r>
          <w:r>
            <w:rPr>
              <w:rFonts w:hint="eastAsia" w:ascii="宋体" w:hAnsi="宋体" w:eastAsia="宋体" w:cs="宋体"/>
              <w:szCs w:val="24"/>
            </w:rPr>
            <w:fldChar w:fldCharType="end"/>
          </w:r>
        </w:p>
        <w:p w14:paraId="7ADA908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_Toc7625 </w:instrText>
          </w:r>
          <w:r>
            <w:rPr>
              <w:rFonts w:hint="eastAsia" w:ascii="宋体" w:hAnsi="宋体" w:eastAsia="宋体" w:cs="宋体"/>
              <w:szCs w:val="24"/>
            </w:rPr>
            <w:fldChar w:fldCharType="separate"/>
          </w:r>
          <w:r>
            <w:rPr>
              <w:rFonts w:hint="default"/>
            </w:rPr>
            <w:t xml:space="preserve">3.1. </w:t>
          </w:r>
          <w:r>
            <w:rPr>
              <w:rFonts w:hint="eastAsia"/>
            </w:rPr>
            <w:t>信息资产</w:t>
          </w:r>
          <w:r>
            <w:tab/>
          </w:r>
          <w:r>
            <w:fldChar w:fldCharType="begin"/>
          </w:r>
          <w:r>
            <w:instrText xml:space="preserve"> PAGEREF _Toc7625 \h </w:instrText>
          </w:r>
          <w:r>
            <w:fldChar w:fldCharType="separate"/>
          </w:r>
          <w:r>
            <w:t>5</w:t>
          </w:r>
          <w:r>
            <w:fldChar w:fldCharType="end"/>
          </w:r>
          <w:r>
            <w:rPr>
              <w:rFonts w:hint="eastAsia" w:ascii="宋体" w:hAnsi="宋体" w:eastAsia="宋体" w:cs="宋体"/>
              <w:szCs w:val="24"/>
            </w:rPr>
            <w:fldChar w:fldCharType="end"/>
          </w:r>
        </w:p>
        <w:p w14:paraId="5579869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_Toc11513 </w:instrText>
          </w:r>
          <w:r>
            <w:rPr>
              <w:rFonts w:hint="eastAsia" w:ascii="宋体" w:hAnsi="宋体" w:eastAsia="宋体" w:cs="宋体"/>
              <w:szCs w:val="24"/>
            </w:rPr>
            <w:fldChar w:fldCharType="separate"/>
          </w:r>
          <w:r>
            <w:rPr>
              <w:rFonts w:hint="default"/>
            </w:rPr>
            <w:t xml:space="preserve">3.2. </w:t>
          </w:r>
          <w:r>
            <w:rPr>
              <w:rFonts w:hint="eastAsia"/>
            </w:rPr>
            <w:t>信息安全事件</w:t>
          </w:r>
          <w:r>
            <w:tab/>
          </w:r>
          <w:r>
            <w:fldChar w:fldCharType="begin"/>
          </w:r>
          <w:r>
            <w:instrText xml:space="preserve"> PAGEREF _Toc11513 \h </w:instrText>
          </w:r>
          <w:r>
            <w:fldChar w:fldCharType="separate"/>
          </w:r>
          <w:r>
            <w:t>5</w:t>
          </w:r>
          <w:r>
            <w:fldChar w:fldCharType="end"/>
          </w:r>
          <w:r>
            <w:rPr>
              <w:rFonts w:hint="eastAsia" w:ascii="宋体" w:hAnsi="宋体" w:eastAsia="宋体" w:cs="宋体"/>
              <w:szCs w:val="24"/>
            </w:rPr>
            <w:fldChar w:fldCharType="end"/>
          </w:r>
        </w:p>
        <w:p w14:paraId="1142830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_Toc9004 </w:instrText>
          </w:r>
          <w:r>
            <w:rPr>
              <w:rFonts w:hint="eastAsia" w:ascii="宋体" w:hAnsi="宋体" w:eastAsia="宋体" w:cs="宋体"/>
              <w:szCs w:val="24"/>
            </w:rPr>
            <w:fldChar w:fldCharType="separate"/>
          </w:r>
          <w:r>
            <w:rPr>
              <w:rFonts w:hint="default"/>
            </w:rPr>
            <w:t xml:space="preserve">3.3. </w:t>
          </w:r>
          <w:r>
            <w:rPr>
              <w:rFonts w:hint="eastAsia"/>
            </w:rPr>
            <w:t>风险评估</w:t>
          </w:r>
          <w:r>
            <w:tab/>
          </w:r>
          <w:r>
            <w:fldChar w:fldCharType="begin"/>
          </w:r>
          <w:r>
            <w:instrText xml:space="preserve"> PAGEREF _Toc9004 \h </w:instrText>
          </w:r>
          <w:r>
            <w:fldChar w:fldCharType="separate"/>
          </w:r>
          <w:r>
            <w:t>5</w:t>
          </w:r>
          <w:r>
            <w:fldChar w:fldCharType="end"/>
          </w:r>
          <w:r>
            <w:rPr>
              <w:rFonts w:hint="eastAsia" w:ascii="宋体" w:hAnsi="宋体" w:eastAsia="宋体" w:cs="宋体"/>
              <w:szCs w:val="24"/>
            </w:rPr>
            <w:fldChar w:fldCharType="end"/>
          </w:r>
        </w:p>
        <w:p w14:paraId="297D9A1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_Toc1848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管理内容与要求</w:t>
          </w:r>
          <w:r>
            <w:tab/>
          </w:r>
          <w:r>
            <w:fldChar w:fldCharType="begin"/>
          </w:r>
          <w:r>
            <w:instrText xml:space="preserve"> PAGEREF _Toc1848 \h </w:instrText>
          </w:r>
          <w:r>
            <w:fldChar w:fldCharType="separate"/>
          </w:r>
          <w:r>
            <w:t>5</w:t>
          </w:r>
          <w:r>
            <w:fldChar w:fldCharType="end"/>
          </w:r>
          <w:r>
            <w:rPr>
              <w:rFonts w:hint="eastAsia" w:ascii="宋体" w:hAnsi="宋体" w:eastAsia="宋体" w:cs="宋体"/>
              <w:szCs w:val="24"/>
            </w:rPr>
            <w:fldChar w:fldCharType="end"/>
          </w:r>
        </w:p>
        <w:p w14:paraId="32B5A4A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_Toc12630 </w:instrText>
          </w:r>
          <w:r>
            <w:rPr>
              <w:rFonts w:hint="eastAsia" w:ascii="宋体" w:hAnsi="宋体" w:eastAsia="宋体" w:cs="宋体"/>
              <w:szCs w:val="24"/>
            </w:rPr>
            <w:fldChar w:fldCharType="separate"/>
          </w:r>
          <w:r>
            <w:rPr>
              <w:rFonts w:hint="default"/>
              <w:lang w:val="en-US" w:eastAsia="zh-CN"/>
            </w:rPr>
            <w:t>4.1. 资产识别与分类</w:t>
          </w:r>
          <w:r>
            <w:tab/>
          </w:r>
          <w:r>
            <w:fldChar w:fldCharType="begin"/>
          </w:r>
          <w:r>
            <w:instrText xml:space="preserve"> PAGEREF _Toc12630 \h </w:instrText>
          </w:r>
          <w:r>
            <w:fldChar w:fldCharType="separate"/>
          </w:r>
          <w:r>
            <w:t>5</w:t>
          </w:r>
          <w:r>
            <w:fldChar w:fldCharType="end"/>
          </w:r>
          <w:r>
            <w:rPr>
              <w:rFonts w:hint="eastAsia" w:ascii="宋体" w:hAnsi="宋体" w:eastAsia="宋体" w:cs="宋体"/>
              <w:szCs w:val="24"/>
            </w:rPr>
            <w:fldChar w:fldCharType="end"/>
          </w:r>
        </w:p>
        <w:p w14:paraId="08A2B9D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_Toc29097 </w:instrText>
          </w:r>
          <w:r>
            <w:rPr>
              <w:rFonts w:hint="eastAsia" w:ascii="宋体" w:hAnsi="宋体" w:eastAsia="宋体" w:cs="宋体"/>
              <w:szCs w:val="24"/>
            </w:rPr>
            <w:fldChar w:fldCharType="separate"/>
          </w:r>
          <w:r>
            <w:rPr>
              <w:rFonts w:hint="default"/>
              <w:lang w:val="en-US" w:eastAsia="zh-CN"/>
            </w:rPr>
            <w:t>4.2. 风险识别与评估</w:t>
          </w:r>
          <w:r>
            <w:tab/>
          </w:r>
          <w:r>
            <w:fldChar w:fldCharType="begin"/>
          </w:r>
          <w:r>
            <w:instrText xml:space="preserve"> PAGEREF _Toc29097 \h </w:instrText>
          </w:r>
          <w:r>
            <w:fldChar w:fldCharType="separate"/>
          </w:r>
          <w:r>
            <w:t>5</w:t>
          </w:r>
          <w:r>
            <w:fldChar w:fldCharType="end"/>
          </w:r>
          <w:r>
            <w:rPr>
              <w:rFonts w:hint="eastAsia" w:ascii="宋体" w:hAnsi="宋体" w:eastAsia="宋体" w:cs="宋体"/>
              <w:szCs w:val="24"/>
            </w:rPr>
            <w:fldChar w:fldCharType="end"/>
          </w:r>
        </w:p>
        <w:p w14:paraId="1020A8B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_Toc28767 </w:instrText>
          </w:r>
          <w:r>
            <w:rPr>
              <w:rFonts w:hint="eastAsia" w:ascii="宋体" w:hAnsi="宋体" w:eastAsia="宋体" w:cs="宋体"/>
              <w:szCs w:val="24"/>
            </w:rPr>
            <w:fldChar w:fldCharType="separate"/>
          </w:r>
          <w:r>
            <w:rPr>
              <w:rFonts w:hint="default"/>
              <w:lang w:val="en-US" w:eastAsia="zh-CN"/>
            </w:rPr>
            <w:t>4.2.1. 风险识别</w:t>
          </w:r>
          <w:r>
            <w:tab/>
          </w:r>
          <w:r>
            <w:fldChar w:fldCharType="begin"/>
          </w:r>
          <w:r>
            <w:instrText xml:space="preserve"> PAGEREF _Toc28767 \h </w:instrText>
          </w:r>
          <w:r>
            <w:fldChar w:fldCharType="separate"/>
          </w:r>
          <w:r>
            <w:t>5</w:t>
          </w:r>
          <w:r>
            <w:fldChar w:fldCharType="end"/>
          </w:r>
          <w:r>
            <w:rPr>
              <w:rFonts w:hint="eastAsia" w:ascii="宋体" w:hAnsi="宋体" w:eastAsia="宋体" w:cs="宋体"/>
              <w:szCs w:val="24"/>
            </w:rPr>
            <w:fldChar w:fldCharType="end"/>
          </w:r>
        </w:p>
        <w:p w14:paraId="4670B3E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_Toc545 </w:instrText>
          </w:r>
          <w:r>
            <w:rPr>
              <w:rFonts w:hint="eastAsia" w:ascii="宋体" w:hAnsi="宋体" w:eastAsia="宋体" w:cs="宋体"/>
              <w:szCs w:val="24"/>
            </w:rPr>
            <w:fldChar w:fldCharType="separate"/>
          </w:r>
          <w:r>
            <w:rPr>
              <w:rFonts w:hint="default"/>
              <w:lang w:val="en-US" w:eastAsia="zh-CN"/>
            </w:rPr>
            <w:t>4.2.2. 风险评估</w:t>
          </w:r>
          <w:r>
            <w:tab/>
          </w:r>
          <w:r>
            <w:fldChar w:fldCharType="begin"/>
          </w:r>
          <w:r>
            <w:instrText xml:space="preserve"> PAGEREF _Toc545 \h </w:instrText>
          </w:r>
          <w:r>
            <w:fldChar w:fldCharType="separate"/>
          </w:r>
          <w:r>
            <w:t>6</w:t>
          </w:r>
          <w:r>
            <w:fldChar w:fldCharType="end"/>
          </w:r>
          <w:r>
            <w:rPr>
              <w:rFonts w:hint="eastAsia" w:ascii="宋体" w:hAnsi="宋体" w:eastAsia="宋体" w:cs="宋体"/>
              <w:szCs w:val="24"/>
            </w:rPr>
            <w:fldChar w:fldCharType="end"/>
          </w:r>
        </w:p>
        <w:p w14:paraId="2192B6D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_Toc31837 </w:instrText>
          </w:r>
          <w:r>
            <w:rPr>
              <w:rFonts w:hint="eastAsia" w:ascii="宋体" w:hAnsi="宋体" w:eastAsia="宋体" w:cs="宋体"/>
              <w:szCs w:val="24"/>
            </w:rPr>
            <w:fldChar w:fldCharType="separate"/>
          </w:r>
          <w:r>
            <w:rPr>
              <w:rFonts w:hint="default"/>
            </w:rPr>
            <w:t>4.3. 风险处置</w:t>
          </w:r>
          <w:r>
            <w:rPr>
              <w:rFonts w:hint="eastAsia"/>
              <w:lang w:val="en-US" w:eastAsia="zh-CN"/>
            </w:rPr>
            <w:t>策略</w:t>
          </w:r>
          <w:r>
            <w:tab/>
          </w:r>
          <w:r>
            <w:fldChar w:fldCharType="begin"/>
          </w:r>
          <w:r>
            <w:instrText xml:space="preserve"> PAGEREF _Toc31837 \h </w:instrText>
          </w:r>
          <w:r>
            <w:fldChar w:fldCharType="separate"/>
          </w:r>
          <w:r>
            <w:t>6</w:t>
          </w:r>
          <w:r>
            <w:fldChar w:fldCharType="end"/>
          </w:r>
          <w:r>
            <w:rPr>
              <w:rFonts w:hint="eastAsia" w:ascii="宋体" w:hAnsi="宋体" w:eastAsia="宋体" w:cs="宋体"/>
              <w:szCs w:val="24"/>
            </w:rPr>
            <w:fldChar w:fldCharType="end"/>
          </w:r>
        </w:p>
        <w:p w14:paraId="377E7E5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_Toc13200 </w:instrText>
          </w:r>
          <w:r>
            <w:rPr>
              <w:rFonts w:hint="eastAsia" w:ascii="宋体" w:hAnsi="宋体" w:eastAsia="宋体" w:cs="宋体"/>
              <w:szCs w:val="24"/>
            </w:rPr>
            <w:fldChar w:fldCharType="separate"/>
          </w:r>
          <w:r>
            <w:rPr>
              <w:rFonts w:hint="default"/>
            </w:rPr>
            <w:t>4.4. 安全事件管理</w:t>
          </w:r>
          <w:r>
            <w:tab/>
          </w:r>
          <w:r>
            <w:fldChar w:fldCharType="begin"/>
          </w:r>
          <w:r>
            <w:instrText xml:space="preserve"> PAGEREF _Toc13200 \h </w:instrText>
          </w:r>
          <w:r>
            <w:fldChar w:fldCharType="separate"/>
          </w:r>
          <w:r>
            <w:t>7</w:t>
          </w:r>
          <w:r>
            <w:fldChar w:fldCharType="end"/>
          </w:r>
          <w:r>
            <w:rPr>
              <w:rFonts w:hint="eastAsia" w:ascii="宋体" w:hAnsi="宋体" w:eastAsia="宋体" w:cs="宋体"/>
              <w:szCs w:val="24"/>
            </w:rPr>
            <w:fldChar w:fldCharType="end"/>
          </w:r>
        </w:p>
        <w:p w14:paraId="76674F3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_Toc16109 </w:instrText>
          </w:r>
          <w:r>
            <w:rPr>
              <w:rFonts w:hint="eastAsia" w:ascii="宋体" w:hAnsi="宋体" w:eastAsia="宋体" w:cs="宋体"/>
              <w:szCs w:val="24"/>
            </w:rPr>
            <w:fldChar w:fldCharType="separate"/>
          </w:r>
          <w:r>
            <w:rPr>
              <w:rFonts w:hint="default"/>
            </w:rPr>
            <w:t>4.5. 关键控制点与测量指标</w:t>
          </w:r>
          <w:r>
            <w:tab/>
          </w:r>
          <w:r>
            <w:fldChar w:fldCharType="begin"/>
          </w:r>
          <w:r>
            <w:instrText xml:space="preserve"> PAGEREF _Toc16109 \h </w:instrText>
          </w:r>
          <w:r>
            <w:fldChar w:fldCharType="separate"/>
          </w:r>
          <w:r>
            <w:t>7</w:t>
          </w:r>
          <w:r>
            <w:fldChar w:fldCharType="end"/>
          </w:r>
          <w:r>
            <w:rPr>
              <w:rFonts w:hint="eastAsia" w:ascii="宋体" w:hAnsi="宋体" w:eastAsia="宋体" w:cs="宋体"/>
              <w:szCs w:val="24"/>
            </w:rPr>
            <w:fldChar w:fldCharType="end"/>
          </w:r>
        </w:p>
        <w:p w14:paraId="308DCDB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_Toc25063 </w:instrText>
          </w:r>
          <w:r>
            <w:rPr>
              <w:rFonts w:hint="eastAsia" w:ascii="宋体" w:hAnsi="宋体" w:eastAsia="宋体" w:cs="宋体"/>
              <w:szCs w:val="24"/>
            </w:rPr>
            <w:fldChar w:fldCharType="separate"/>
          </w:r>
          <w:r>
            <w:rPr>
              <w:rFonts w:hint="default"/>
            </w:rPr>
            <w:t>4.5.1. 关键控制点</w:t>
          </w:r>
          <w:r>
            <w:tab/>
          </w:r>
          <w:r>
            <w:fldChar w:fldCharType="begin"/>
          </w:r>
          <w:r>
            <w:instrText xml:space="preserve"> PAGEREF _Toc25063 \h </w:instrText>
          </w:r>
          <w:r>
            <w:fldChar w:fldCharType="separate"/>
          </w:r>
          <w:r>
            <w:t>7</w:t>
          </w:r>
          <w:r>
            <w:fldChar w:fldCharType="end"/>
          </w:r>
          <w:r>
            <w:rPr>
              <w:rFonts w:hint="eastAsia" w:ascii="宋体" w:hAnsi="宋体" w:eastAsia="宋体" w:cs="宋体"/>
              <w:szCs w:val="24"/>
            </w:rPr>
            <w:fldChar w:fldCharType="end"/>
          </w:r>
        </w:p>
        <w:p w14:paraId="0199A21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_Toc25079 </w:instrText>
          </w:r>
          <w:r>
            <w:rPr>
              <w:rFonts w:hint="eastAsia" w:ascii="宋体" w:hAnsi="宋体" w:eastAsia="宋体" w:cs="宋体"/>
              <w:szCs w:val="24"/>
            </w:rPr>
            <w:fldChar w:fldCharType="separate"/>
          </w:r>
          <w:r>
            <w:rPr>
              <w:rFonts w:hint="default"/>
            </w:rPr>
            <w:t>4.5.2. 过程测量指标</w:t>
          </w:r>
          <w:r>
            <w:tab/>
          </w:r>
          <w:r>
            <w:fldChar w:fldCharType="begin"/>
          </w:r>
          <w:r>
            <w:instrText xml:space="preserve"> PAGEREF _Toc25079 \h </w:instrText>
          </w:r>
          <w:r>
            <w:fldChar w:fldCharType="separate"/>
          </w:r>
          <w:r>
            <w:t>7</w:t>
          </w:r>
          <w:r>
            <w:fldChar w:fldCharType="end"/>
          </w:r>
          <w:r>
            <w:rPr>
              <w:rFonts w:hint="eastAsia" w:ascii="宋体" w:hAnsi="宋体" w:eastAsia="宋体" w:cs="宋体"/>
              <w:szCs w:val="24"/>
            </w:rPr>
            <w:fldChar w:fldCharType="end"/>
          </w:r>
        </w:p>
        <w:p w14:paraId="660F676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_Toc15932 </w:instrText>
          </w:r>
          <w:r>
            <w:rPr>
              <w:rFonts w:hint="eastAsia" w:ascii="宋体" w:hAnsi="宋体" w:eastAsia="宋体" w:cs="宋体"/>
              <w:szCs w:val="24"/>
            </w:rPr>
            <w:fldChar w:fldCharType="separate"/>
          </w:r>
          <w:r>
            <w:rPr>
              <w:rFonts w:hint="default" w:eastAsia="宋体"/>
              <w:lang w:val="en-US" w:eastAsia="zh-CN"/>
            </w:rPr>
            <w:t xml:space="preserve">5. </w:t>
          </w:r>
          <w:r>
            <w:rPr>
              <w:rFonts w:hint="eastAsia" w:eastAsia="宋体"/>
              <w:lang w:val="en-US" w:eastAsia="zh-CN"/>
            </w:rPr>
            <w:t>附则</w:t>
          </w:r>
          <w:r>
            <w:tab/>
          </w:r>
          <w:r>
            <w:fldChar w:fldCharType="begin"/>
          </w:r>
          <w:r>
            <w:instrText xml:space="preserve"> PAGEREF _Toc15932 \h </w:instrText>
          </w:r>
          <w:r>
            <w:fldChar w:fldCharType="separate"/>
          </w:r>
          <w:r>
            <w:t>7</w:t>
          </w:r>
          <w:r>
            <w:fldChar w:fldCharType="end"/>
          </w:r>
          <w:r>
            <w:rPr>
              <w:rFonts w:hint="eastAsia" w:ascii="宋体" w:hAnsi="宋体" w:eastAsia="宋体" w:cs="宋体"/>
              <w:szCs w:val="24"/>
            </w:rPr>
            <w:fldChar w:fldCharType="end"/>
          </w:r>
        </w:p>
        <w:p w14:paraId="1390892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_Toc3525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附件</w:t>
          </w:r>
          <w:r>
            <w:tab/>
          </w:r>
          <w:r>
            <w:fldChar w:fldCharType="begin"/>
          </w:r>
          <w:r>
            <w:instrText xml:space="preserve"> PAGEREF _Toc3525 \h </w:instrText>
          </w:r>
          <w:r>
            <w:fldChar w:fldCharType="separate"/>
          </w:r>
          <w:r>
            <w:t>7</w:t>
          </w:r>
          <w:r>
            <w:fldChar w:fldCharType="end"/>
          </w:r>
          <w:r>
            <w:rPr>
              <w:rFonts w:hint="eastAsia" w:ascii="宋体" w:hAnsi="宋体" w:eastAsia="宋体" w:cs="宋体"/>
              <w:szCs w:val="24"/>
            </w:rPr>
            <w:fldChar w:fldCharType="end"/>
          </w:r>
        </w:p>
        <w:p w14:paraId="1968909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_Toc17681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记录</w:t>
          </w:r>
          <w:r>
            <w:tab/>
          </w:r>
          <w:r>
            <w:fldChar w:fldCharType="begin"/>
          </w:r>
          <w:r>
            <w:instrText xml:space="preserve"> PAGEREF _Toc17681 \h </w:instrText>
          </w:r>
          <w:r>
            <w:fldChar w:fldCharType="separate"/>
          </w:r>
          <w:r>
            <w:t>8</w:t>
          </w:r>
          <w:r>
            <w:fldChar w:fldCharType="end"/>
          </w:r>
          <w:r>
            <w:rPr>
              <w:rFonts w:hint="eastAsia" w:ascii="宋体" w:hAnsi="宋体" w:eastAsia="宋体" w:cs="宋体"/>
              <w:szCs w:val="24"/>
            </w:rPr>
            <w:fldChar w:fldCharType="end"/>
          </w:r>
        </w:p>
        <w:p w14:paraId="18EA109E">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19DD993B">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4DF8D99B">
      <w:pPr>
        <w:pStyle w:val="28"/>
        <w:keepNext w:val="0"/>
        <w:keepLines w:val="0"/>
        <w:pageBreakBefore w:val="0"/>
        <w:widowControl w:val="0"/>
        <w:kinsoku w:val="0"/>
        <w:wordWrap/>
        <w:overflowPunct/>
        <w:autoSpaceDE w:val="0"/>
        <w:autoSpaceDN w:val="0"/>
        <w:bidi w:val="0"/>
        <w:adjustRightInd w:val="0"/>
        <w:snapToGrid w:val="0"/>
        <w:textAlignment w:val="baseline"/>
      </w:pPr>
      <w:bookmarkStart w:id="2" w:name="_Toc29910"/>
      <w:r>
        <w:rPr>
          <w:rFonts w:hint="eastAsia"/>
          <w:lang w:val="en-US" w:eastAsia="zh-CN"/>
        </w:rPr>
        <w:t>总则</w:t>
      </w:r>
      <w:bookmarkEnd w:id="2"/>
    </w:p>
    <w:p w14:paraId="6149B08B">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 w:name="_Toc15018"/>
      <w:r>
        <w:rPr>
          <w:rFonts w:hint="eastAsia"/>
          <w:lang w:val="en-US" w:eastAsia="zh-CN"/>
        </w:rPr>
        <w:t>目的</w:t>
      </w:r>
      <w:bookmarkEnd w:id="3"/>
    </w:p>
    <w:p w14:paraId="530F8022">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为规范重庆市鹧鸪哨信息技术有限责任公司运维服务过程中的信息安全管理，系统性地识别、评估并处置信息安全风险，确保客户及公司信息的机密性、完整性和可用性，构建稳定可靠的服务环境，特制定本制度。</w:t>
      </w:r>
    </w:p>
    <w:p w14:paraId="55E511E9">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 w:name="_Toc5224"/>
      <w:r>
        <w:rPr>
          <w:rFonts w:hint="eastAsia"/>
          <w:lang w:val="en-US" w:eastAsia="zh-CN"/>
        </w:rPr>
        <w:t>适用范围</w:t>
      </w:r>
      <w:bookmarkEnd w:id="4"/>
    </w:p>
    <w:p w14:paraId="6DD3B424">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本制度适用于公司运维部及其它所有参与运维服务的部门与人员，管理范围覆盖服务交付过程中涉及的所有信息资产及相关活动。</w:t>
      </w:r>
    </w:p>
    <w:p w14:paraId="214044FE">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5" w:name="_Toc11311"/>
      <w:r>
        <w:rPr>
          <w:rFonts w:hint="eastAsia"/>
          <w:lang w:val="en-US" w:eastAsia="zh-CN"/>
        </w:rPr>
        <w:t>、原则</w:t>
      </w:r>
      <w:bookmarkEnd w:id="5"/>
    </w:p>
    <w:p w14:paraId="2DAAF5F8">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预防为主原则：采取主动措施识别和消除安全隐患，防患于未然。</w:t>
      </w:r>
    </w:p>
    <w:p w14:paraId="224140C3">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风险导向原则：所有安全决策和措施应基于风险评估的结果。</w:t>
      </w:r>
    </w:p>
    <w:p w14:paraId="76C21F2C">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全员参与原则：每位员工都有责任和义务维护信息安全。</w:t>
      </w:r>
    </w:p>
    <w:p w14:paraId="0D59C606">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持续改进原则：定期评审信息安全状况，确保持续有效。</w:t>
      </w:r>
    </w:p>
    <w:p w14:paraId="282B47C9">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6" w:name="_Toc16836"/>
      <w:r>
        <w:rPr>
          <w:rFonts w:hint="eastAsia"/>
          <w:lang w:val="en-US" w:eastAsia="zh-CN"/>
        </w:rPr>
        <w:t>岗位职责</w:t>
      </w:r>
      <w:bookmarkEnd w:id="6"/>
    </w:p>
    <w:p w14:paraId="6158AA54">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7" w:name="_Toc18041"/>
      <w:r>
        <w:rPr>
          <w:rFonts w:hint="eastAsia"/>
          <w:lang w:val="en-US" w:eastAsia="zh-CN"/>
        </w:rPr>
        <w:t>运维部部长</w:t>
      </w:r>
      <w:bookmarkEnd w:id="7"/>
    </w:p>
    <w:p w14:paraId="744AD09F">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负责信息安全管理的整体规划、实施与维护。</w:t>
      </w:r>
    </w:p>
    <w:p w14:paraId="1E7CCE04">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领导并组织资产盘点与风险评估工作。</w:t>
      </w:r>
    </w:p>
    <w:p w14:paraId="6D7BCFC0">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审批重大安全控制措施与改进计划。</w:t>
      </w:r>
    </w:p>
    <w:p w14:paraId="5E261C60">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8" w:name="_Toc4975"/>
      <w:r>
        <w:rPr>
          <w:rFonts w:hint="eastAsia"/>
          <w:lang w:val="en-US" w:eastAsia="zh-CN"/>
        </w:rPr>
        <w:t>运维工程师</w:t>
      </w:r>
      <w:bookmarkEnd w:id="8"/>
    </w:p>
    <w:p w14:paraId="4547CC7B">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执行</w:t>
      </w:r>
      <w:r>
        <w:rPr>
          <w:rFonts w:hint="eastAsia"/>
          <w:lang w:val="en-US" w:eastAsia="zh-CN"/>
        </w:rPr>
        <w:t>运维部部长</w:t>
      </w:r>
      <w:r>
        <w:rPr>
          <w:rFonts w:hint="default"/>
          <w:lang w:val="en-US" w:eastAsia="zh-CN"/>
        </w:rPr>
        <w:t>分派的具体安全任务。</w:t>
      </w:r>
    </w:p>
    <w:p w14:paraId="40CF5AD1">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负责日常安全监控、事件初步处理与记录。</w:t>
      </w:r>
    </w:p>
    <w:p w14:paraId="3B55303C">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协助完成安全审计与报告编写。</w:t>
      </w:r>
    </w:p>
    <w:p w14:paraId="75EF7182">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9" w:name="_Toc22785"/>
      <w:r>
        <w:rPr>
          <w:rFonts w:hint="eastAsia"/>
          <w:lang w:val="en-US" w:eastAsia="zh-CN"/>
        </w:rPr>
        <w:t>引用依据</w:t>
      </w:r>
      <w:bookmarkEnd w:id="9"/>
    </w:p>
    <w:p w14:paraId="65EB23B2">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本制度制定引用了以下国家标准与行业规范：</w:t>
      </w:r>
    </w:p>
    <w:p w14:paraId="0DDFCEC0">
      <w:pPr>
        <w:pStyle w:val="29"/>
        <w:keepNext w:val="0"/>
        <w:keepLines w:val="0"/>
        <w:pageBreakBefore w:val="0"/>
        <w:widowControl w:val="0"/>
        <w:numPr>
          <w:ilvl w:val="0"/>
          <w:numId w:val="5"/>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GB/T 28827.1-2022 《信息技术服务 运行维护 第1部分：通用要求》</w:t>
      </w:r>
    </w:p>
    <w:p w14:paraId="78FE4709">
      <w:pPr>
        <w:pStyle w:val="29"/>
        <w:keepNext w:val="0"/>
        <w:keepLines w:val="0"/>
        <w:pageBreakBefore w:val="0"/>
        <w:widowControl w:val="0"/>
        <w:numPr>
          <w:ilvl w:val="0"/>
          <w:numId w:val="5"/>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GB/T 28827.2-2012 《信息技术服务 运行维护 第2部分：交付规范》</w:t>
      </w:r>
    </w:p>
    <w:p w14:paraId="003B3AD0">
      <w:pPr>
        <w:pStyle w:val="29"/>
        <w:keepNext w:val="0"/>
        <w:keepLines w:val="0"/>
        <w:pageBreakBefore w:val="0"/>
        <w:widowControl w:val="0"/>
        <w:numPr>
          <w:ilvl w:val="0"/>
          <w:numId w:val="5"/>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GB/T 28827.3-2012 《信息技术服务 运行维护 第3部分：应急响应规范》</w:t>
      </w:r>
    </w:p>
    <w:p w14:paraId="6DB73C4B">
      <w:pPr>
        <w:pStyle w:val="29"/>
        <w:keepNext w:val="0"/>
        <w:keepLines w:val="0"/>
        <w:pageBreakBefore w:val="0"/>
        <w:widowControl w:val="0"/>
        <w:numPr>
          <w:ilvl w:val="0"/>
          <w:numId w:val="5"/>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T/CESA 1299—2023 《信息技术服务 运行维护服务能力成熟度模型》</w:t>
      </w:r>
    </w:p>
    <w:p w14:paraId="6DFAC52D">
      <w:pPr>
        <w:pStyle w:val="28"/>
        <w:keepNext w:val="0"/>
        <w:keepLines w:val="0"/>
        <w:pageBreakBefore w:val="0"/>
        <w:widowControl w:val="0"/>
        <w:kinsoku w:val="0"/>
        <w:wordWrap/>
        <w:overflowPunct/>
        <w:autoSpaceDE w:val="0"/>
        <w:autoSpaceDN w:val="0"/>
        <w:bidi w:val="0"/>
        <w:adjustRightInd w:val="0"/>
        <w:snapToGrid w:val="0"/>
        <w:textAlignment w:val="baseline"/>
      </w:pPr>
      <w:bookmarkStart w:id="10" w:name="_Toc2523"/>
      <w:r>
        <w:rPr>
          <w:rFonts w:hint="eastAsia"/>
          <w:lang w:val="en-US" w:eastAsia="zh-CN"/>
        </w:rPr>
        <w:t>定义与术语</w:t>
      </w:r>
      <w:bookmarkEnd w:id="10"/>
    </w:p>
    <w:p w14:paraId="50B29A29">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1" w:name="_Toc7625"/>
      <w:r>
        <w:rPr>
          <w:rFonts w:hint="eastAsia"/>
        </w:rPr>
        <w:t>信息资产</w:t>
      </w:r>
      <w:bookmarkEnd w:id="11"/>
    </w:p>
    <w:p w14:paraId="74EA6BC1">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任何对组织具有价值的信息及相关载体，如硬件、软件、数据、文档等。</w:t>
      </w:r>
    </w:p>
    <w:p w14:paraId="7F09C599">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2" w:name="_Toc11513"/>
      <w:r>
        <w:rPr>
          <w:rFonts w:hint="eastAsia"/>
        </w:rPr>
        <w:t>信息安全事件</w:t>
      </w:r>
      <w:bookmarkEnd w:id="12"/>
    </w:p>
    <w:p w14:paraId="53C51A26">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导致或可能导致信息的机密性、完整性、可用性遭受破坏的单起或多起事件。</w:t>
      </w:r>
    </w:p>
    <w:p w14:paraId="5985486C">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3" w:name="_Toc9004"/>
      <w:r>
        <w:rPr>
          <w:rFonts w:hint="eastAsia"/>
        </w:rPr>
        <w:t>风险评估</w:t>
      </w:r>
      <w:bookmarkEnd w:id="13"/>
    </w:p>
    <w:p w14:paraId="55A6DDC2">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rPr>
        <w:t>识别信息资产的风险、评估风险影响并确定处置优先级的过程。</w:t>
      </w:r>
    </w:p>
    <w:p w14:paraId="5C126D3D">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4" w:name="_Toc1848"/>
      <w:r>
        <w:rPr>
          <w:rFonts w:hint="eastAsia"/>
          <w:lang w:val="en-US" w:eastAsia="zh-CN"/>
        </w:rPr>
        <w:t>管理内容与要求</w:t>
      </w:r>
      <w:bookmarkEnd w:id="14"/>
    </w:p>
    <w:p w14:paraId="5E2A5C8D">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5" w:name="_Toc12630"/>
      <w:r>
        <w:rPr>
          <w:rFonts w:hint="default"/>
          <w:lang w:val="en-US" w:eastAsia="zh-CN"/>
        </w:rPr>
        <w:t>资产识别与分类</w:t>
      </w:r>
      <w:bookmarkEnd w:id="15"/>
    </w:p>
    <w:p w14:paraId="1680890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运维部部长</w:t>
      </w:r>
      <w:r>
        <w:rPr>
          <w:rFonts w:hint="default"/>
          <w:lang w:val="en-US" w:eastAsia="zh-CN"/>
        </w:rPr>
        <w:t>应组织对运维服务相关的所有信息资产进行识别、登记与分类。资产分类应依据《资产分类表》进行，并填写《关键资产风险评估及控制表》，明确资产的责任人、位置、数量等关键属性。</w:t>
      </w:r>
    </w:p>
    <w:p w14:paraId="5D14879B">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6" w:name="_Toc29097"/>
      <w:r>
        <w:rPr>
          <w:rFonts w:hint="default"/>
          <w:lang w:val="en-US" w:eastAsia="zh-CN"/>
        </w:rPr>
        <w:t>风险识别与评估</w:t>
      </w:r>
      <w:bookmarkEnd w:id="16"/>
    </w:p>
    <w:p w14:paraId="39C28C73">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7" w:name="_Toc28767"/>
      <w:r>
        <w:rPr>
          <w:rFonts w:hint="default"/>
          <w:lang w:val="en-US" w:eastAsia="zh-CN"/>
        </w:rPr>
        <w:t>风险识别</w:t>
      </w:r>
      <w:bookmarkEnd w:id="17"/>
    </w:p>
    <w:p w14:paraId="4A9CDF41">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应参照《机房环境安全管理规范》等系列安全规范，识别各资产面临的安全威胁与自身弱点。变更管理流程中必须充分考虑信息安全风险。</w:t>
      </w:r>
    </w:p>
    <w:p w14:paraId="2BCE42DA">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8" w:name="_Toc545"/>
      <w:r>
        <w:rPr>
          <w:rFonts w:hint="default"/>
          <w:lang w:val="en-US" w:eastAsia="zh-CN"/>
        </w:rPr>
        <w:t>风险评估</w:t>
      </w:r>
      <w:bookmarkEnd w:id="18"/>
    </w:p>
    <w:p w14:paraId="2E409EF5">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采用风险值（Risk Value）进行量化评估。风险值由资产重要度（Asset Criticality）与风险发生概率（Risk Probability）相乘得出。</w:t>
      </w:r>
    </w:p>
    <w:p w14:paraId="21657BEF">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资产重要度判定表如图4-1所示</w:t>
      </w:r>
    </w:p>
    <w:p w14:paraId="67C1EA49">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资产重要度判定表</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9"/>
        <w:gridCol w:w="3552"/>
        <w:gridCol w:w="2841"/>
      </w:tblGrid>
      <w:tr w14:paraId="1B636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9" w:type="dxa"/>
          </w:tcPr>
          <w:p w14:paraId="554D0C1C">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原值</w:t>
            </w:r>
          </w:p>
        </w:tc>
        <w:tc>
          <w:tcPr>
            <w:tcW w:w="3552" w:type="dxa"/>
          </w:tcPr>
          <w:p w14:paraId="559B97FD">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关联的服务重要度</w:t>
            </w:r>
          </w:p>
        </w:tc>
        <w:tc>
          <w:tcPr>
            <w:tcW w:w="2841" w:type="dxa"/>
          </w:tcPr>
          <w:p w14:paraId="7669B582">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等级</w:t>
            </w:r>
          </w:p>
        </w:tc>
      </w:tr>
      <w:tr w14:paraId="4EE77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9" w:type="dxa"/>
          </w:tcPr>
          <w:p w14:paraId="547DFFF1">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低</w:t>
            </w:r>
          </w:p>
        </w:tc>
        <w:tc>
          <w:tcPr>
            <w:tcW w:w="3552" w:type="dxa"/>
            <w:shd w:val="clear" w:color="auto" w:fill="auto"/>
          </w:tcPr>
          <w:p w14:paraId="042AF2B1">
            <w:pPr>
              <w:pStyle w:val="29"/>
              <w:keepNext w:val="0"/>
              <w:keepLines w:val="0"/>
              <w:pageBreakBefore w:val="0"/>
              <w:widowControl w:val="0"/>
              <w:kinsoku w:val="0"/>
              <w:wordWrap/>
              <w:overflowPunct/>
              <w:autoSpaceDE w:val="0"/>
              <w:autoSpaceDN w:val="0"/>
              <w:bidi w:val="0"/>
              <w:adjustRightInd w:val="0"/>
              <w:snapToGrid w:val="0"/>
              <w:ind w:right="0" w:rightChars="0" w:firstLine="480" w:firstLineChars="200"/>
              <w:jc w:val="center"/>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低</w:t>
            </w:r>
          </w:p>
        </w:tc>
        <w:tc>
          <w:tcPr>
            <w:tcW w:w="2841" w:type="dxa"/>
          </w:tcPr>
          <w:p w14:paraId="4FCC06AD">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1</w:t>
            </w:r>
          </w:p>
        </w:tc>
      </w:tr>
      <w:tr w14:paraId="0FC00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9" w:type="dxa"/>
          </w:tcPr>
          <w:p w14:paraId="1A5F82E3">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较低</w:t>
            </w:r>
          </w:p>
        </w:tc>
        <w:tc>
          <w:tcPr>
            <w:tcW w:w="3552" w:type="dxa"/>
            <w:shd w:val="clear" w:color="auto" w:fill="auto"/>
          </w:tcPr>
          <w:p w14:paraId="5A4C49A5">
            <w:pPr>
              <w:pStyle w:val="29"/>
              <w:keepNext w:val="0"/>
              <w:keepLines w:val="0"/>
              <w:pageBreakBefore w:val="0"/>
              <w:widowControl w:val="0"/>
              <w:kinsoku w:val="0"/>
              <w:wordWrap/>
              <w:overflowPunct/>
              <w:autoSpaceDE w:val="0"/>
              <w:autoSpaceDN w:val="0"/>
              <w:bidi w:val="0"/>
              <w:adjustRightInd w:val="0"/>
              <w:snapToGrid w:val="0"/>
              <w:ind w:right="0" w:rightChars="0" w:firstLine="480" w:firstLineChars="200"/>
              <w:jc w:val="center"/>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较低</w:t>
            </w:r>
          </w:p>
        </w:tc>
        <w:tc>
          <w:tcPr>
            <w:tcW w:w="2841" w:type="dxa"/>
          </w:tcPr>
          <w:p w14:paraId="561AADAB">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2</w:t>
            </w:r>
          </w:p>
        </w:tc>
      </w:tr>
      <w:tr w14:paraId="10779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9" w:type="dxa"/>
          </w:tcPr>
          <w:p w14:paraId="134F9444">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中</w:t>
            </w:r>
          </w:p>
        </w:tc>
        <w:tc>
          <w:tcPr>
            <w:tcW w:w="3552" w:type="dxa"/>
            <w:shd w:val="clear" w:color="auto" w:fill="auto"/>
          </w:tcPr>
          <w:p w14:paraId="4B5C57F4">
            <w:pPr>
              <w:pStyle w:val="29"/>
              <w:keepNext w:val="0"/>
              <w:keepLines w:val="0"/>
              <w:pageBreakBefore w:val="0"/>
              <w:widowControl w:val="0"/>
              <w:kinsoku w:val="0"/>
              <w:wordWrap/>
              <w:overflowPunct/>
              <w:autoSpaceDE w:val="0"/>
              <w:autoSpaceDN w:val="0"/>
              <w:bidi w:val="0"/>
              <w:adjustRightInd w:val="0"/>
              <w:snapToGrid w:val="0"/>
              <w:ind w:right="0" w:rightChars="0" w:firstLine="480" w:firstLineChars="200"/>
              <w:jc w:val="center"/>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中</w:t>
            </w:r>
          </w:p>
        </w:tc>
        <w:tc>
          <w:tcPr>
            <w:tcW w:w="2841" w:type="dxa"/>
          </w:tcPr>
          <w:p w14:paraId="426BF14E">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3</w:t>
            </w:r>
          </w:p>
        </w:tc>
      </w:tr>
      <w:tr w14:paraId="1BFD9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9" w:type="dxa"/>
          </w:tcPr>
          <w:p w14:paraId="10C2A67C">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较高</w:t>
            </w:r>
          </w:p>
        </w:tc>
        <w:tc>
          <w:tcPr>
            <w:tcW w:w="3552" w:type="dxa"/>
            <w:shd w:val="clear" w:color="auto" w:fill="auto"/>
          </w:tcPr>
          <w:p w14:paraId="1635E7C2">
            <w:pPr>
              <w:pStyle w:val="29"/>
              <w:keepNext w:val="0"/>
              <w:keepLines w:val="0"/>
              <w:pageBreakBefore w:val="0"/>
              <w:widowControl w:val="0"/>
              <w:kinsoku w:val="0"/>
              <w:wordWrap/>
              <w:overflowPunct/>
              <w:autoSpaceDE w:val="0"/>
              <w:autoSpaceDN w:val="0"/>
              <w:bidi w:val="0"/>
              <w:adjustRightInd w:val="0"/>
              <w:snapToGrid w:val="0"/>
              <w:ind w:right="0" w:rightChars="0" w:firstLine="480" w:firstLineChars="200"/>
              <w:jc w:val="center"/>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较高</w:t>
            </w:r>
          </w:p>
        </w:tc>
        <w:tc>
          <w:tcPr>
            <w:tcW w:w="2841" w:type="dxa"/>
          </w:tcPr>
          <w:p w14:paraId="298A8BD3">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4</w:t>
            </w:r>
          </w:p>
        </w:tc>
      </w:tr>
      <w:tr w14:paraId="7D77C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9" w:type="dxa"/>
          </w:tcPr>
          <w:p w14:paraId="58DDBEFF">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高</w:t>
            </w:r>
          </w:p>
        </w:tc>
        <w:tc>
          <w:tcPr>
            <w:tcW w:w="3552" w:type="dxa"/>
            <w:shd w:val="clear" w:color="auto" w:fill="auto"/>
          </w:tcPr>
          <w:p w14:paraId="433C4383">
            <w:pPr>
              <w:pStyle w:val="29"/>
              <w:keepNext w:val="0"/>
              <w:keepLines w:val="0"/>
              <w:pageBreakBefore w:val="0"/>
              <w:widowControl w:val="0"/>
              <w:kinsoku w:val="0"/>
              <w:wordWrap/>
              <w:overflowPunct/>
              <w:autoSpaceDE w:val="0"/>
              <w:autoSpaceDN w:val="0"/>
              <w:bidi w:val="0"/>
              <w:adjustRightInd w:val="0"/>
              <w:snapToGrid w:val="0"/>
              <w:ind w:right="0" w:rightChars="0" w:firstLine="480" w:firstLineChars="200"/>
              <w:jc w:val="center"/>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高</w:t>
            </w:r>
          </w:p>
        </w:tc>
        <w:tc>
          <w:tcPr>
            <w:tcW w:w="2841" w:type="dxa"/>
          </w:tcPr>
          <w:p w14:paraId="3EE1E63A">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5</w:t>
            </w:r>
          </w:p>
        </w:tc>
      </w:tr>
    </w:tbl>
    <w:p w14:paraId="66F52E70">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lang w:val="en-US" w:eastAsia="zh-CN"/>
        </w:rPr>
      </w:pPr>
    </w:p>
    <w:p w14:paraId="0DB78DDC">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风险发生概率判定表如图4-2所示</w:t>
      </w:r>
    </w:p>
    <w:p w14:paraId="56798D53">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 xml:space="preserve"> 风险发生概率判定表</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75"/>
        <w:gridCol w:w="5647"/>
      </w:tblGrid>
      <w:tr w14:paraId="48968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5" w:type="dxa"/>
          </w:tcPr>
          <w:p w14:paraId="1C2A880B">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发生可能性范围</w:t>
            </w:r>
          </w:p>
        </w:tc>
        <w:tc>
          <w:tcPr>
            <w:tcW w:w="5647" w:type="dxa"/>
          </w:tcPr>
          <w:p w14:paraId="43DC4951">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等级</w:t>
            </w:r>
          </w:p>
        </w:tc>
      </w:tr>
      <w:tr w14:paraId="39CF1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5" w:type="dxa"/>
          </w:tcPr>
          <w:p w14:paraId="4FD9E2C8">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1%~20%</w:t>
            </w:r>
          </w:p>
        </w:tc>
        <w:tc>
          <w:tcPr>
            <w:tcW w:w="5647" w:type="dxa"/>
            <w:shd w:val="clear" w:color="auto" w:fill="auto"/>
          </w:tcPr>
          <w:p w14:paraId="6BC50D85">
            <w:pPr>
              <w:pStyle w:val="29"/>
              <w:keepNext w:val="0"/>
              <w:keepLines w:val="0"/>
              <w:pageBreakBefore w:val="0"/>
              <w:widowControl w:val="0"/>
              <w:kinsoku w:val="0"/>
              <w:wordWrap/>
              <w:overflowPunct/>
              <w:autoSpaceDE w:val="0"/>
              <w:autoSpaceDN w:val="0"/>
              <w:bidi w:val="0"/>
              <w:adjustRightInd w:val="0"/>
              <w:snapToGrid w:val="0"/>
              <w:ind w:right="0" w:rightChars="0" w:firstLine="480" w:firstLineChars="200"/>
              <w:jc w:val="center"/>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1</w:t>
            </w:r>
          </w:p>
        </w:tc>
      </w:tr>
      <w:tr w14:paraId="38953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5" w:type="dxa"/>
          </w:tcPr>
          <w:p w14:paraId="0D6FCFF3">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eastAsia"/>
                <w:vertAlign w:val="baseline"/>
                <w:lang w:val="en-US" w:eastAsia="zh-CN"/>
              </w:rPr>
            </w:pPr>
            <w:r>
              <w:rPr>
                <w:rFonts w:hint="eastAsia"/>
                <w:vertAlign w:val="baseline"/>
                <w:lang w:val="en-US" w:eastAsia="zh-CN"/>
              </w:rPr>
              <w:t>21%~40%</w:t>
            </w:r>
          </w:p>
        </w:tc>
        <w:tc>
          <w:tcPr>
            <w:tcW w:w="5647" w:type="dxa"/>
            <w:shd w:val="clear" w:color="auto" w:fill="auto"/>
          </w:tcPr>
          <w:p w14:paraId="09960B23">
            <w:pPr>
              <w:pStyle w:val="29"/>
              <w:keepNext w:val="0"/>
              <w:keepLines w:val="0"/>
              <w:pageBreakBefore w:val="0"/>
              <w:widowControl w:val="0"/>
              <w:kinsoku w:val="0"/>
              <w:wordWrap/>
              <w:overflowPunct/>
              <w:autoSpaceDE w:val="0"/>
              <w:autoSpaceDN w:val="0"/>
              <w:bidi w:val="0"/>
              <w:adjustRightInd w:val="0"/>
              <w:snapToGrid w:val="0"/>
              <w:ind w:right="0" w:rightChars="0" w:firstLine="480" w:firstLineChars="200"/>
              <w:jc w:val="center"/>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2</w:t>
            </w:r>
          </w:p>
        </w:tc>
      </w:tr>
      <w:tr w14:paraId="0BBF8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5" w:type="dxa"/>
          </w:tcPr>
          <w:p w14:paraId="496480B5">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eastAsia"/>
                <w:vertAlign w:val="baseline"/>
                <w:lang w:val="en-US" w:eastAsia="zh-CN"/>
              </w:rPr>
            </w:pPr>
            <w:r>
              <w:rPr>
                <w:rFonts w:hint="eastAsia"/>
                <w:vertAlign w:val="baseline"/>
                <w:lang w:val="en-US" w:eastAsia="zh-CN"/>
              </w:rPr>
              <w:t>41%~60%</w:t>
            </w:r>
          </w:p>
        </w:tc>
        <w:tc>
          <w:tcPr>
            <w:tcW w:w="5647" w:type="dxa"/>
            <w:shd w:val="clear" w:color="auto" w:fill="auto"/>
          </w:tcPr>
          <w:p w14:paraId="217968AA">
            <w:pPr>
              <w:pStyle w:val="29"/>
              <w:keepNext w:val="0"/>
              <w:keepLines w:val="0"/>
              <w:pageBreakBefore w:val="0"/>
              <w:widowControl w:val="0"/>
              <w:kinsoku w:val="0"/>
              <w:wordWrap/>
              <w:overflowPunct/>
              <w:autoSpaceDE w:val="0"/>
              <w:autoSpaceDN w:val="0"/>
              <w:bidi w:val="0"/>
              <w:adjustRightInd w:val="0"/>
              <w:snapToGrid w:val="0"/>
              <w:ind w:right="0" w:rightChars="0" w:firstLine="480" w:firstLineChars="200"/>
              <w:jc w:val="center"/>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3</w:t>
            </w:r>
          </w:p>
        </w:tc>
      </w:tr>
      <w:tr w14:paraId="5E515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5" w:type="dxa"/>
          </w:tcPr>
          <w:p w14:paraId="0732190C">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eastAsia"/>
                <w:vertAlign w:val="baseline"/>
                <w:lang w:val="en-US" w:eastAsia="zh-CN"/>
              </w:rPr>
            </w:pPr>
            <w:r>
              <w:rPr>
                <w:rFonts w:hint="eastAsia"/>
                <w:vertAlign w:val="baseline"/>
                <w:lang w:val="en-US" w:eastAsia="zh-CN"/>
              </w:rPr>
              <w:t>61%~80%</w:t>
            </w:r>
          </w:p>
        </w:tc>
        <w:tc>
          <w:tcPr>
            <w:tcW w:w="5647" w:type="dxa"/>
            <w:shd w:val="clear" w:color="auto" w:fill="auto"/>
          </w:tcPr>
          <w:p w14:paraId="1D8EFD51">
            <w:pPr>
              <w:pStyle w:val="29"/>
              <w:keepNext w:val="0"/>
              <w:keepLines w:val="0"/>
              <w:pageBreakBefore w:val="0"/>
              <w:widowControl w:val="0"/>
              <w:kinsoku w:val="0"/>
              <w:wordWrap/>
              <w:overflowPunct/>
              <w:autoSpaceDE w:val="0"/>
              <w:autoSpaceDN w:val="0"/>
              <w:bidi w:val="0"/>
              <w:adjustRightInd w:val="0"/>
              <w:snapToGrid w:val="0"/>
              <w:ind w:right="0" w:rightChars="0" w:firstLine="480" w:firstLineChars="200"/>
              <w:jc w:val="center"/>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4</w:t>
            </w:r>
          </w:p>
        </w:tc>
      </w:tr>
      <w:tr w14:paraId="53269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5" w:type="dxa"/>
          </w:tcPr>
          <w:p w14:paraId="4640EE4A">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eastAsia"/>
                <w:vertAlign w:val="baseline"/>
                <w:lang w:val="en-US" w:eastAsia="zh-CN"/>
              </w:rPr>
            </w:pPr>
            <w:r>
              <w:rPr>
                <w:rFonts w:hint="eastAsia"/>
                <w:vertAlign w:val="baseline"/>
                <w:lang w:val="en-US" w:eastAsia="zh-CN"/>
              </w:rPr>
              <w:t>81%~100%</w:t>
            </w:r>
          </w:p>
        </w:tc>
        <w:tc>
          <w:tcPr>
            <w:tcW w:w="5647" w:type="dxa"/>
            <w:shd w:val="clear" w:color="auto" w:fill="auto"/>
          </w:tcPr>
          <w:p w14:paraId="3DFCC5AB">
            <w:pPr>
              <w:pStyle w:val="29"/>
              <w:keepNext w:val="0"/>
              <w:keepLines w:val="0"/>
              <w:pageBreakBefore w:val="0"/>
              <w:widowControl w:val="0"/>
              <w:kinsoku w:val="0"/>
              <w:wordWrap/>
              <w:overflowPunct/>
              <w:autoSpaceDE w:val="0"/>
              <w:autoSpaceDN w:val="0"/>
              <w:bidi w:val="0"/>
              <w:adjustRightInd w:val="0"/>
              <w:snapToGrid w:val="0"/>
              <w:ind w:right="0" w:rightChars="0" w:firstLine="480" w:firstLineChars="200"/>
              <w:jc w:val="center"/>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5</w:t>
            </w:r>
          </w:p>
        </w:tc>
      </w:tr>
    </w:tbl>
    <w:p w14:paraId="213DD87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rPr>
      </w:pPr>
      <w:r>
        <w:t>风险等级</w:t>
      </w:r>
      <w:r>
        <w:rPr>
          <w:rFonts w:hint="default"/>
        </w:rPr>
        <w:t>：计算风险值（1-25），并依据公司设定的可接受风险水平（阈值）确定风险等级。</w:t>
      </w:r>
    </w:p>
    <w:p w14:paraId="2908C2C5">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rPr>
      </w:pPr>
      <w:bookmarkStart w:id="19" w:name="_Toc31837"/>
      <w:r>
        <w:rPr>
          <w:rFonts w:hint="default"/>
        </w:rPr>
        <w:t>风险处置</w:t>
      </w:r>
      <w:r>
        <w:rPr>
          <w:rFonts w:hint="eastAsia"/>
          <w:lang w:val="en-US" w:eastAsia="zh-CN"/>
        </w:rPr>
        <w:t>策略</w:t>
      </w:r>
      <w:bookmarkEnd w:id="19"/>
    </w:p>
    <w:p w14:paraId="40428F7A">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rPr>
      </w:pPr>
      <w:r>
        <w:rPr>
          <w:rFonts w:hint="default"/>
        </w:rPr>
        <w:t>对于超过可接受水平的风险，应采取以下一种或多种方式进行处置：</w:t>
      </w:r>
    </w:p>
    <w:p w14:paraId="101D2E96">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rPr>
      </w:pPr>
      <w:r>
        <w:rPr>
          <w:rFonts w:hint="default"/>
        </w:rPr>
        <w:t>实施控制措施：采用适当的技术或管理措施降低风险。</w:t>
      </w:r>
    </w:p>
    <w:p w14:paraId="407D17E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rPr>
      </w:pPr>
      <w:r>
        <w:rPr>
          <w:rFonts w:hint="default"/>
        </w:rPr>
        <w:t>风险接受：在符合组织政策的前提下，明确接受该风险。</w:t>
      </w:r>
    </w:p>
    <w:p w14:paraId="4F485AD7">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rPr>
      </w:pPr>
      <w:r>
        <w:rPr>
          <w:rFonts w:hint="default"/>
        </w:rPr>
        <w:t>风险规避：通过取消相关活动来避免风险。</w:t>
      </w:r>
    </w:p>
    <w:p w14:paraId="5D55CFEB">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rPr>
      </w:pPr>
      <w:r>
        <w:rPr>
          <w:rFonts w:hint="default"/>
        </w:rPr>
        <w:t>风险转移：通过保险或第三方服务转移风险。</w:t>
      </w:r>
    </w:p>
    <w:p w14:paraId="4C89FBC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rPr>
      </w:pPr>
      <w:r>
        <w:rPr>
          <w:rFonts w:hint="default"/>
        </w:rPr>
        <w:t>处置后需重新评估，确保风险已降至可接受水平。</w:t>
      </w:r>
    </w:p>
    <w:p w14:paraId="1862E62A">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rPr>
      </w:pPr>
      <w:bookmarkStart w:id="20" w:name="_Toc13200"/>
      <w:r>
        <w:rPr>
          <w:rFonts w:hint="default"/>
        </w:rPr>
        <w:t>安全事件管理</w:t>
      </w:r>
      <w:bookmarkEnd w:id="20"/>
    </w:p>
    <w:p w14:paraId="1C50E91D">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rPr>
      </w:pPr>
      <w:r>
        <w:rPr>
          <w:rFonts w:hint="default"/>
        </w:rPr>
        <w:t>所有信息安全事件必须通过事件管理流程进行记录、处理和跟踪。信</w:t>
      </w:r>
      <w:r>
        <w:rPr>
          <w:rFonts w:hint="eastAsia"/>
          <w:lang w:val="en-US" w:eastAsia="zh-CN"/>
        </w:rPr>
        <w:t>运维部部长</w:t>
      </w:r>
      <w:r>
        <w:rPr>
          <w:rFonts w:hint="default"/>
        </w:rPr>
        <w:t>应定期分析事件数据，编制《信息安全事件统计表》，并据此提出改进措施。</w:t>
      </w:r>
    </w:p>
    <w:p w14:paraId="5F733330">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rPr>
      </w:pPr>
      <w:bookmarkStart w:id="21" w:name="_Toc16109"/>
      <w:r>
        <w:rPr>
          <w:rFonts w:hint="default"/>
        </w:rPr>
        <w:t>关键控制点与测量指标</w:t>
      </w:r>
      <w:bookmarkEnd w:id="21"/>
    </w:p>
    <w:p w14:paraId="2D6AE4A4">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rPr>
      </w:pPr>
      <w:r>
        <w:rPr>
          <w:rFonts w:hint="default"/>
        </w:rPr>
        <w:t>为确保信息安全管理流程的有效执行和持续改进，特设定以下关键控制点与量化测量指标。</w:t>
      </w:r>
    </w:p>
    <w:p w14:paraId="300412C0">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rPr>
      </w:pPr>
      <w:bookmarkStart w:id="22" w:name="_Toc25063"/>
      <w:r>
        <w:rPr>
          <w:rFonts w:hint="default"/>
        </w:rPr>
        <w:t>关键控制点</w:t>
      </w:r>
      <w:bookmarkEnd w:id="22"/>
    </w:p>
    <w:p w14:paraId="3937F1AF">
      <w:pPr>
        <w:pStyle w:val="29"/>
        <w:keepNext w:val="0"/>
        <w:keepLines w:val="0"/>
        <w:pageBreakBefore w:val="0"/>
        <w:widowControl w:val="0"/>
        <w:numPr>
          <w:ilvl w:val="0"/>
          <w:numId w:val="6"/>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所有关键信息资产必须被识别、登记并定期审核。</w:t>
      </w:r>
    </w:p>
    <w:p w14:paraId="11D3A46B">
      <w:pPr>
        <w:pStyle w:val="29"/>
        <w:keepNext w:val="0"/>
        <w:keepLines w:val="0"/>
        <w:pageBreakBefore w:val="0"/>
        <w:widowControl w:val="0"/>
        <w:numPr>
          <w:ilvl w:val="0"/>
          <w:numId w:val="6"/>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所有变更必须经过信息安全风险评估。</w:t>
      </w:r>
    </w:p>
    <w:p w14:paraId="6CA21C06">
      <w:pPr>
        <w:pStyle w:val="29"/>
        <w:keepNext w:val="0"/>
        <w:keepLines w:val="0"/>
        <w:pageBreakBefore w:val="0"/>
        <w:widowControl w:val="0"/>
        <w:numPr>
          <w:ilvl w:val="0"/>
          <w:numId w:val="6"/>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所有信息安全事件必须被记录、分析并用于持续改进。</w:t>
      </w:r>
    </w:p>
    <w:p w14:paraId="41E48470">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rPr>
      </w:pPr>
      <w:bookmarkStart w:id="23" w:name="_Toc25079"/>
      <w:r>
        <w:rPr>
          <w:rFonts w:hint="default"/>
        </w:rPr>
        <w:t>过程测量指标</w:t>
      </w:r>
      <w:bookmarkEnd w:id="23"/>
    </w:p>
    <w:p w14:paraId="7FD9F221">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信息安全管理考核标准如表4-2所示</w:t>
      </w:r>
    </w:p>
    <w:p w14:paraId="0565326B">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eastAsia" w:eastAsia="宋体"/>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rPr>
        <w:t>过程测量指标</w:t>
      </w:r>
      <w:r>
        <w:rPr>
          <w:rFonts w:hint="eastAsia"/>
          <w:lang w:val="en-US" w:eastAsia="zh-CN"/>
        </w:rPr>
        <w:t>表</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1"/>
        <w:gridCol w:w="1705"/>
        <w:gridCol w:w="3771"/>
        <w:gridCol w:w="1107"/>
        <w:gridCol w:w="1094"/>
      </w:tblGrid>
      <w:tr w14:paraId="33F36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1" w:type="dxa"/>
          </w:tcPr>
          <w:p w14:paraId="4C8B8F5C">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序号</w:t>
            </w:r>
          </w:p>
        </w:tc>
        <w:tc>
          <w:tcPr>
            <w:tcW w:w="1705" w:type="dxa"/>
          </w:tcPr>
          <w:p w14:paraId="08F459FC">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衡量指标</w:t>
            </w:r>
          </w:p>
        </w:tc>
        <w:tc>
          <w:tcPr>
            <w:tcW w:w="3771" w:type="dxa"/>
          </w:tcPr>
          <w:p w14:paraId="5FA6122C">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指标计算说明</w:t>
            </w:r>
          </w:p>
        </w:tc>
        <w:tc>
          <w:tcPr>
            <w:tcW w:w="1107" w:type="dxa"/>
          </w:tcPr>
          <w:p w14:paraId="750A349B">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考核频次</w:t>
            </w:r>
          </w:p>
        </w:tc>
        <w:tc>
          <w:tcPr>
            <w:tcW w:w="1094" w:type="dxa"/>
          </w:tcPr>
          <w:p w14:paraId="42D2F09D">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目标值</w:t>
            </w:r>
          </w:p>
        </w:tc>
      </w:tr>
      <w:tr w14:paraId="59605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1" w:type="dxa"/>
          </w:tcPr>
          <w:p w14:paraId="647B8AF0">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1</w:t>
            </w:r>
          </w:p>
        </w:tc>
        <w:tc>
          <w:tcPr>
            <w:tcW w:w="1705" w:type="dxa"/>
          </w:tcPr>
          <w:p w14:paraId="7BA984D3">
            <w:pPr>
              <w:pStyle w:val="29"/>
              <w:keepNext w:val="0"/>
              <w:keepLines w:val="0"/>
              <w:pageBreakBefore w:val="0"/>
              <w:widowControl w:val="0"/>
              <w:kinsoku w:val="0"/>
              <w:wordWrap/>
              <w:overflowPunct/>
              <w:autoSpaceDE w:val="0"/>
              <w:autoSpaceDN w:val="0"/>
              <w:bidi w:val="0"/>
              <w:adjustRightInd w:val="0"/>
              <w:snapToGrid w:val="0"/>
              <w:ind w:left="0" w:leftChars="0" w:firstLine="0" w:firstLineChars="0"/>
              <w:jc w:val="left"/>
              <w:textAlignment w:val="baseline"/>
              <w:rPr>
                <w:rFonts w:hint="default" w:eastAsia="宋体"/>
                <w:sz w:val="21"/>
                <w:szCs w:val="21"/>
                <w:vertAlign w:val="baseline"/>
                <w:lang w:val="en-US" w:eastAsia="zh-CN"/>
              </w:rPr>
            </w:pPr>
            <w:r>
              <w:rPr>
                <w:rFonts w:hint="eastAsia"/>
                <w:sz w:val="21"/>
                <w:szCs w:val="21"/>
                <w:vertAlign w:val="baseline"/>
                <w:lang w:val="en-US" w:eastAsia="zh-CN"/>
              </w:rPr>
              <w:t>信息泄露次数</w:t>
            </w:r>
          </w:p>
        </w:tc>
        <w:tc>
          <w:tcPr>
            <w:tcW w:w="3771" w:type="dxa"/>
          </w:tcPr>
          <w:p w14:paraId="33B9E559">
            <w:pPr>
              <w:pStyle w:val="29"/>
              <w:keepNext w:val="0"/>
              <w:keepLines w:val="0"/>
              <w:pageBreakBefore w:val="0"/>
              <w:widowControl w:val="0"/>
              <w:kinsoku w:val="0"/>
              <w:wordWrap/>
              <w:overflowPunct/>
              <w:autoSpaceDE w:val="0"/>
              <w:autoSpaceDN w:val="0"/>
              <w:bidi w:val="0"/>
              <w:adjustRightInd w:val="0"/>
              <w:snapToGrid w:val="0"/>
              <w:ind w:left="0" w:leftChars="0" w:firstLine="0" w:firstLineChars="0"/>
              <w:jc w:val="left"/>
              <w:textAlignment w:val="baseline"/>
              <w:rPr>
                <w:rFonts w:hint="default" w:eastAsia="宋体"/>
                <w:sz w:val="21"/>
                <w:szCs w:val="21"/>
                <w:vertAlign w:val="baseline"/>
                <w:lang w:val="en-US" w:eastAsia="zh-CN"/>
              </w:rPr>
            </w:pPr>
            <w:r>
              <w:rPr>
                <w:rFonts w:hint="eastAsia" w:ascii="Segoe UI" w:hAnsi="Segoe UI" w:eastAsia="宋体" w:cs="Segoe UI"/>
                <w:i w:val="0"/>
                <w:iCs w:val="0"/>
                <w:caps w:val="0"/>
                <w:color w:val="0F1115"/>
                <w:spacing w:val="0"/>
                <w:sz w:val="19"/>
                <w:szCs w:val="19"/>
                <w:shd w:val="clear" w:color="auto" w:fill="FFFFFF"/>
                <w:lang w:val="en-US" w:eastAsia="zh-CN"/>
              </w:rPr>
              <w:t>客户信息泄露的事件次数</w:t>
            </w:r>
          </w:p>
        </w:tc>
        <w:tc>
          <w:tcPr>
            <w:tcW w:w="1107" w:type="dxa"/>
          </w:tcPr>
          <w:p w14:paraId="1BB9592D">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年度</w:t>
            </w:r>
          </w:p>
        </w:tc>
        <w:tc>
          <w:tcPr>
            <w:tcW w:w="1094" w:type="dxa"/>
          </w:tcPr>
          <w:p w14:paraId="2F6FFE84">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≤2次</w:t>
            </w:r>
          </w:p>
        </w:tc>
      </w:tr>
    </w:tbl>
    <w:p w14:paraId="62D73741">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p>
    <w:p w14:paraId="14C204EF">
      <w:pPr>
        <w:pStyle w:val="28"/>
        <w:keepNext w:val="0"/>
        <w:keepLines w:val="0"/>
        <w:pageBreakBefore w:val="0"/>
        <w:widowControl w:val="0"/>
        <w:kinsoku w:val="0"/>
        <w:wordWrap/>
        <w:overflowPunct/>
        <w:autoSpaceDE w:val="0"/>
        <w:autoSpaceDN w:val="0"/>
        <w:bidi w:val="0"/>
        <w:adjustRightInd w:val="0"/>
        <w:snapToGrid w:val="0"/>
        <w:textAlignment w:val="baseline"/>
        <w:rPr>
          <w:rStyle w:val="38"/>
          <w:rFonts w:hint="default" w:eastAsia="宋体"/>
          <w:lang w:val="en-US" w:eastAsia="zh-CN"/>
        </w:rPr>
      </w:pPr>
      <w:bookmarkStart w:id="24" w:name="bookmark3"/>
      <w:bookmarkEnd w:id="24"/>
      <w:bookmarkStart w:id="25" w:name="_Toc17424"/>
      <w:bookmarkStart w:id="26" w:name="_Toc15932"/>
      <w:r>
        <w:rPr>
          <w:rStyle w:val="38"/>
          <w:rFonts w:hint="eastAsia" w:eastAsia="宋体"/>
          <w:lang w:val="en-US" w:eastAsia="zh-CN"/>
        </w:rPr>
        <w:t>附则</w:t>
      </w:r>
      <w:bookmarkEnd w:id="25"/>
      <w:bookmarkEnd w:id="26"/>
    </w:p>
    <w:p w14:paraId="76DF72AE">
      <w:pPr>
        <w:keepNext w:val="0"/>
        <w:keepLines w:val="0"/>
        <w:pageBreakBefore w:val="0"/>
        <w:widowControl w:val="0"/>
        <w:numPr>
          <w:ilvl w:val="0"/>
          <w:numId w:val="7"/>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cs="宋体"/>
          <w:spacing w:val="-1"/>
          <w:sz w:val="24"/>
          <w:szCs w:val="24"/>
          <w:lang w:val="en-US" w:eastAsia="zh-CN"/>
        </w:rPr>
        <w:t>运维部</w:t>
      </w:r>
      <w:r>
        <w:rPr>
          <w:rFonts w:ascii="宋体" w:hAnsi="宋体" w:eastAsia="宋体" w:cs="宋体"/>
          <w:spacing w:val="-1"/>
          <w:sz w:val="24"/>
          <w:szCs w:val="24"/>
        </w:rPr>
        <w:t>。</w:t>
      </w:r>
    </w:p>
    <w:p w14:paraId="0850DB8C">
      <w:pPr>
        <w:keepNext w:val="0"/>
        <w:keepLines w:val="0"/>
        <w:pageBreakBefore w:val="0"/>
        <w:widowControl w:val="0"/>
        <w:numPr>
          <w:ilvl w:val="0"/>
          <w:numId w:val="7"/>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05B2A191">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7" w:name="bookmark14"/>
      <w:bookmarkEnd w:id="27"/>
      <w:bookmarkStart w:id="28" w:name="_Toc3525"/>
      <w:r>
        <w:rPr>
          <w:rFonts w:hint="eastAsia"/>
          <w:lang w:val="en-US" w:eastAsia="zh-CN"/>
        </w:rPr>
        <w:t>附件</w:t>
      </w:r>
      <w:bookmarkEnd w:id="28"/>
    </w:p>
    <w:p w14:paraId="5961A1C8">
      <w:pPr>
        <w:pStyle w:val="29"/>
        <w:keepNext w:val="0"/>
        <w:keepLines w:val="0"/>
        <w:pageBreakBefore w:val="0"/>
        <w:widowControl w:val="0"/>
        <w:numPr>
          <w:ilvl w:val="0"/>
          <w:numId w:val="8"/>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《资产分类表》</w:t>
      </w:r>
    </w:p>
    <w:p w14:paraId="4F0CEADC">
      <w:pPr>
        <w:pStyle w:val="29"/>
        <w:keepNext w:val="0"/>
        <w:keepLines w:val="0"/>
        <w:pageBreakBefore w:val="0"/>
        <w:widowControl w:val="0"/>
        <w:numPr>
          <w:ilvl w:val="0"/>
          <w:numId w:val="8"/>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《关键资产风险评估及控制表》</w:t>
      </w:r>
    </w:p>
    <w:p w14:paraId="36925065">
      <w:pPr>
        <w:pStyle w:val="29"/>
        <w:keepNext w:val="0"/>
        <w:keepLines w:val="0"/>
        <w:pageBreakBefore w:val="0"/>
        <w:widowControl w:val="0"/>
        <w:numPr>
          <w:ilvl w:val="0"/>
          <w:numId w:val="8"/>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《信息安全事件统计表》</w:t>
      </w:r>
    </w:p>
    <w:p w14:paraId="429221FA">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9" w:name="_Toc17681"/>
      <w:r>
        <w:rPr>
          <w:rFonts w:hint="eastAsia"/>
          <w:lang w:val="en-US" w:eastAsia="zh-CN"/>
        </w:rPr>
        <w:t>记录</w:t>
      </w:r>
      <w:bookmarkEnd w:id="29"/>
    </w:p>
    <w:p w14:paraId="031630CF">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信息安全管理制度运行过程中产生的所有记录，包括但不限于风险评估表、事件统计表、审计报告等，应由运维部统一保存，保存期限不少于3年。</w:t>
      </w:r>
    </w:p>
    <w:sectPr>
      <w:headerReference r:id="rId5" w:type="default"/>
      <w:footerReference w:type="default" r:id="rId11"/>
      <w:headerReference w:type="first" r:id="rId12"/>
      <w:footerReference w:type="first" r:id="rId13"/>
      <w:headerReference w:type="even" r:id="rId14"/>
      <w:footerReference w:type="even" r:id="rId15"/>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8BDE49">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tab/>
      <w:t>重庆市鹧鸪哨信息技术有限责任公司</w:t>
    </w:r>
    <w:r>
      <w:rPr>
        <w:rFonts w:hint="eastAsia" w:eastAsiaTheme="minorEastAsia"/>
        <w:lang w:val="en-US" w:eastAsia="zh-CN"/>
      </w:rPr>
    </w:r>
    <w:r>
      <w:rPr>
        <w:rFonts w:hint="eastAsia" w:eastAsiaTheme="minorEastAsia"/>
        <w:lang w:val="en-US" w:eastAsia="zh-CN"/>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A6F270B8"/>
    <w:multiLevelType w:val="singleLevel"/>
    <w:tmpl w:val="A6F270B8"/>
    <w:lvl w:ilvl="0" w:tentative="0">
      <w:start w:val="1"/>
      <w:numFmt w:val="decimal"/>
      <w:lvlText w:val="%1."/>
      <w:lvlJc w:val="left"/>
      <w:pPr>
        <w:ind w:left="425" w:hanging="425"/>
      </w:pPr>
      <w:rPr>
        <w:rFonts w:hint="default"/>
      </w:rPr>
    </w:lvl>
  </w:abstractNum>
  <w:abstractNum w:abstractNumId="2">
    <w:nsid w:val="BE59BEF0"/>
    <w:multiLevelType w:val="singleLevel"/>
    <w:tmpl w:val="BE59BEF0"/>
    <w:lvl w:ilvl="0" w:tentative="0">
      <w:start w:val="1"/>
      <w:numFmt w:val="decimal"/>
      <w:lvlText w:val="%1."/>
      <w:lvlJc w:val="left"/>
      <w:pPr>
        <w:ind w:left="425" w:hanging="425"/>
      </w:pPr>
      <w:rPr>
        <w:rFonts w:hint="default"/>
      </w:rPr>
    </w:lvl>
  </w:abstractNum>
  <w:abstractNum w:abstractNumId="3">
    <w:nsid w:val="D4C2FEC3"/>
    <w:multiLevelType w:val="singleLevel"/>
    <w:tmpl w:val="D4C2FEC3"/>
    <w:lvl w:ilvl="0" w:tentative="0">
      <w:start w:val="1"/>
      <w:numFmt w:val="decimal"/>
      <w:lvlText w:val="%1."/>
      <w:lvlJc w:val="left"/>
      <w:pPr>
        <w:ind w:left="425" w:hanging="425"/>
      </w:pPr>
      <w:rPr>
        <w:rFonts w:hint="default"/>
      </w:rPr>
    </w:lvl>
  </w:abstractNum>
  <w:abstractNum w:abstractNumId="4">
    <w:nsid w:val="EA0F4E69"/>
    <w:multiLevelType w:val="singleLevel"/>
    <w:tmpl w:val="EA0F4E69"/>
    <w:lvl w:ilvl="0" w:tentative="0">
      <w:start w:val="1"/>
      <w:numFmt w:val="decimal"/>
      <w:lvlText w:val="%1."/>
      <w:lvlJc w:val="left"/>
      <w:pPr>
        <w:ind w:left="425" w:hanging="425"/>
      </w:pPr>
      <w:rPr>
        <w:rFonts w:hint="default"/>
      </w:rPr>
    </w:lvl>
  </w:abstractNum>
  <w:abstractNum w:abstractNumId="5">
    <w:nsid w:val="F67A92D8"/>
    <w:multiLevelType w:val="singleLevel"/>
    <w:tmpl w:val="F67A92D8"/>
    <w:lvl w:ilvl="0" w:tentative="0">
      <w:start w:val="1"/>
      <w:numFmt w:val="decimal"/>
      <w:lvlText w:val="%1."/>
      <w:lvlJc w:val="left"/>
      <w:pPr>
        <w:ind w:left="425" w:hanging="425"/>
      </w:pPr>
      <w:rPr>
        <w:rFonts w:hint="default"/>
      </w:rPr>
    </w:lvl>
  </w:abstractNum>
  <w:abstractNum w:abstractNumId="6">
    <w:nsid w:val="F9539CF3"/>
    <w:multiLevelType w:val="singleLevel"/>
    <w:tmpl w:val="F9539CF3"/>
    <w:lvl w:ilvl="0" w:tentative="0">
      <w:start w:val="1"/>
      <w:numFmt w:val="decimal"/>
      <w:lvlText w:val="%1."/>
      <w:lvlJc w:val="left"/>
      <w:pPr>
        <w:ind w:left="425" w:hanging="425"/>
      </w:pPr>
      <w:rPr>
        <w:rFonts w:hint="default"/>
      </w:rPr>
    </w:lvl>
  </w:abstractNum>
  <w:abstractNum w:abstractNumId="7">
    <w:nsid w:val="2347B199"/>
    <w:multiLevelType w:val="singleLevel"/>
    <w:tmpl w:val="2347B199"/>
    <w:lvl w:ilvl="0" w:tentative="0">
      <w:start w:val="1"/>
      <w:numFmt w:val="decimal"/>
      <w:lvlText w:val="%1."/>
      <w:lvlJc w:val="left"/>
      <w:pPr>
        <w:ind w:left="425" w:hanging="425"/>
      </w:pPr>
      <w:rPr>
        <w:rFonts w:hint="default"/>
      </w:rPr>
    </w:lvl>
  </w:abstractNum>
  <w:num w:numId="1">
    <w:abstractNumId w:val="0"/>
  </w:num>
  <w:num w:numId="2">
    <w:abstractNumId w:val="7"/>
  </w:num>
  <w:num w:numId="3">
    <w:abstractNumId w:val="3"/>
  </w:num>
  <w:num w:numId="4">
    <w:abstractNumId w:val="1"/>
  </w:num>
  <w:num w:numId="5">
    <w:abstractNumId w:val="2"/>
  </w:num>
  <w:num w:numId="6">
    <w:abstractNumId w:val="5"/>
  </w:num>
  <w:num w:numId="7">
    <w:abstractNumId w:val="6"/>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FE708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1786</Words>
  <Characters>2046</Characters>
  <Lines>0</Lines>
  <Paragraphs>0</Paragraphs>
  <TotalTime>0</TotalTime>
  <ScaleCrop>false</ScaleCrop>
  <LinksUpToDate>false</LinksUpToDate>
  <CharactersWithSpaces>2118</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2026-05-25T03:41:32Z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