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F60ADC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5695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 w14:paraId="378080F0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5357"/>
      <w:r>
        <w:rPr>
          <w:rFonts w:hint="eastAsia"/>
          <w:lang w:val="en-US" w:eastAsia="zh-CN"/>
        </w:rPr>
        <w:t>中国广电重庆BOSS系统存储维保项目-过程量化指标</w:t>
      </w:r>
      <w:bookmarkEnd w:id="1"/>
    </w:p>
    <w:p w14:paraId="5FB78A1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文件编号：ZGS-06-12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EB7B4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ECF57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180894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2025.02.22</w:t>
            </w:r>
          </w:p>
        </w:tc>
      </w:tr>
      <w:tr w14:paraId="33563E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5B2E1E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4FDBFD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2" w:name="_GoBack"/>
            <w:bookmarkEnd w:id="2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2025.02.22</w:t>
            </w:r>
          </w:p>
        </w:tc>
      </w:tr>
      <w:tr w14:paraId="0D1A70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27331B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批准人:宋海滨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</w:p>
        </w:tc>
        <w:tc>
          <w:tcPr>
            <w:tcW w:w="2708" w:type="dxa"/>
          </w:tcPr>
          <w:p w14:paraId="309E50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2025.02.22</w:t>
            </w:r>
          </w:p>
        </w:tc>
      </w:tr>
    </w:tbl>
    <w:p w14:paraId="17790762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0A530B2E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5E92B2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05D80B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4AFC44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6D5AC2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44B6B9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A75DA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747975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22</w:t>
            </w:r>
          </w:p>
        </w:tc>
        <w:tc>
          <w:tcPr>
            <w:tcW w:w="919" w:type="dxa"/>
          </w:tcPr>
          <w:p w14:paraId="7A2211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25AA3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0AE765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宋海滨</w:t>
            </w:r>
          </w:p>
        </w:tc>
      </w:tr>
      <w:tr w14:paraId="3B6A6D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151A48B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050A328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5E90F30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5E0ADB0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3E8D5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6E443C0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C62F6C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88424A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14F9498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9BD87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4962507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1D2E2C2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FF0497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889B96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61DAEDB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843617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3EF48D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_Toc15695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_Toc15695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6F378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_Toc5357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新余美康盛德公司服务器运维项目-过程量化指标</w:t>
          </w:r>
          <w:r>
            <w:tab/>
          </w:r>
          <w:r>
            <w:fldChar w:fldCharType="begin"/>
          </w:r>
          <w:r>
            <w:instrText xml:space="preserve"> PAGEREF _Toc5357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68B5E0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A4871DC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headerReference r:id="rId5" w:type="default"/>
          <w:footerReference w:type="default" r:id="rId11"/>
          <w:headerReference w:type="first" r:id="rId12"/>
          <w:footerReference w:type="first" r:id="rId13"/>
          <w:headerReference w:type="even" r:id="rId14"/>
          <w:footerReference w:type="even" r:id="rId15"/>
          <w:pgSz w:w="11906" w:h="16838"/>
          <w:pgMar w:top="1417" w:right="1800" w:bottom="1440" w:left="1800" w:header="1140" w:footer="992" w:gutter="0"/>
          <w:cols w:space="425" w:num="1"/>
          <w:docGrid w:type="lines" w:linePitch="312" w:charSpace="0"/>
        </w:sect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884326A">
      <w:pPr>
        <w:pStyle w:val="29"/>
        <w:bidi w:val="0"/>
        <w:ind w:left="0" w:leftChars="0" w:right="0" w:rightChars="0" w:firstLine="0" w:firstLineChars="0"/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中国广电重庆BOSS系统存储维保项目-过程量化指标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2"/>
        <w:gridCol w:w="1142"/>
        <w:gridCol w:w="1698"/>
        <w:gridCol w:w="1420"/>
        <w:gridCol w:w="1420"/>
        <w:gridCol w:w="1421"/>
      </w:tblGrid>
      <w:tr w14:paraId="0606B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5266A37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编号</w:t>
            </w:r>
          </w:p>
        </w:tc>
        <w:tc>
          <w:tcPr>
            <w:tcW w:w="1142" w:type="dxa"/>
            <w:vAlign w:val="center"/>
          </w:tcPr>
          <w:p w14:paraId="3215DFA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指标类别</w:t>
            </w:r>
          </w:p>
        </w:tc>
        <w:tc>
          <w:tcPr>
            <w:tcW w:w="1698" w:type="dxa"/>
            <w:vAlign w:val="center"/>
          </w:tcPr>
          <w:p w14:paraId="0F6BA87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1420" w:type="dxa"/>
            <w:vAlign w:val="center"/>
          </w:tcPr>
          <w:p w14:paraId="56BF52D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指标</w:t>
            </w: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方式</w:t>
            </w:r>
          </w:p>
        </w:tc>
        <w:tc>
          <w:tcPr>
            <w:tcW w:w="1420" w:type="dxa"/>
            <w:vAlign w:val="center"/>
          </w:tcPr>
          <w:p w14:paraId="2116E9D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频次</w:t>
            </w:r>
          </w:p>
        </w:tc>
        <w:tc>
          <w:tcPr>
            <w:tcW w:w="1421" w:type="dxa"/>
            <w:vAlign w:val="center"/>
          </w:tcPr>
          <w:p w14:paraId="70BCD7F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目标值</w:t>
            </w:r>
          </w:p>
        </w:tc>
      </w:tr>
      <w:tr w14:paraId="0CFAE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7A051C4F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1210559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过程框架设计</w:t>
            </w:r>
          </w:p>
        </w:tc>
        <w:tc>
          <w:tcPr>
            <w:tcW w:w="1698" w:type="dxa"/>
            <w:shd w:val="clear" w:color="auto" w:fill="auto"/>
          </w:tcPr>
          <w:p w14:paraId="23AA3A3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自评估次数</w:t>
            </w:r>
          </w:p>
        </w:tc>
        <w:tc>
          <w:tcPr>
            <w:tcW w:w="1420" w:type="dxa"/>
            <w:shd w:val="clear" w:color="auto" w:fill="auto"/>
          </w:tcPr>
          <w:p w14:paraId="2B4BDC2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数量，每年对过程框架进行分析的次数</w:t>
            </w:r>
          </w:p>
        </w:tc>
        <w:tc>
          <w:tcPr>
            <w:tcW w:w="1420" w:type="dxa"/>
            <w:shd w:val="clear" w:color="auto" w:fill="auto"/>
          </w:tcPr>
          <w:p w14:paraId="092DA30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1421" w:type="dxa"/>
            <w:shd w:val="clear" w:color="auto" w:fill="auto"/>
          </w:tcPr>
          <w:p w14:paraId="09D444B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≥1</w:t>
            </w:r>
          </w:p>
        </w:tc>
      </w:tr>
      <w:tr w14:paraId="22FD4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73126645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612953B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服务级别管理</w:t>
            </w:r>
          </w:p>
        </w:tc>
        <w:tc>
          <w:tcPr>
            <w:tcW w:w="1698" w:type="dxa"/>
            <w:shd w:val="clear" w:color="auto" w:fill="auto"/>
          </w:tcPr>
          <w:p w14:paraId="183137D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SLA达成率</w:t>
            </w:r>
          </w:p>
        </w:tc>
        <w:tc>
          <w:tcPr>
            <w:tcW w:w="1420" w:type="dxa"/>
            <w:shd w:val="clear" w:color="auto" w:fill="auto"/>
          </w:tcPr>
          <w:p w14:paraId="31EC7F1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(满足服务级别的事件数/事件总数)*100%</w:t>
            </w:r>
          </w:p>
        </w:tc>
        <w:tc>
          <w:tcPr>
            <w:tcW w:w="1420" w:type="dxa"/>
            <w:shd w:val="clear" w:color="auto" w:fill="auto"/>
          </w:tcPr>
          <w:p w14:paraId="4951AA0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21" w:type="dxa"/>
            <w:shd w:val="clear" w:color="auto" w:fill="auto"/>
          </w:tcPr>
          <w:p w14:paraId="586058D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95%</w:t>
            </w:r>
          </w:p>
        </w:tc>
      </w:tr>
      <w:tr w14:paraId="4FC9D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72B6BDEE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3B1E1C3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服务报告管理</w:t>
            </w:r>
          </w:p>
        </w:tc>
        <w:tc>
          <w:tcPr>
            <w:tcW w:w="1698" w:type="dxa"/>
            <w:shd w:val="clear" w:color="auto" w:fill="auto"/>
          </w:tcPr>
          <w:p w14:paraId="24E4D3C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服务报告提交及时率</w:t>
            </w:r>
          </w:p>
        </w:tc>
        <w:tc>
          <w:tcPr>
            <w:tcW w:w="1420" w:type="dxa"/>
            <w:shd w:val="clear" w:color="auto" w:fill="auto"/>
          </w:tcPr>
          <w:p w14:paraId="526665B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按时提交的服务报告数量/应提交的服务报告总数)×100%</w:t>
            </w:r>
          </w:p>
        </w:tc>
        <w:tc>
          <w:tcPr>
            <w:tcW w:w="1420" w:type="dxa"/>
            <w:shd w:val="clear" w:color="auto" w:fill="auto"/>
          </w:tcPr>
          <w:p w14:paraId="668C84A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21" w:type="dxa"/>
            <w:shd w:val="clear" w:color="auto" w:fill="auto"/>
          </w:tcPr>
          <w:p w14:paraId="5A35EC0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  <w:tr w14:paraId="6A781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Merge w:val="restart"/>
            <w:vAlign w:val="center"/>
          </w:tcPr>
          <w:p w14:paraId="0A87371E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Merge w:val="restart"/>
            <w:vAlign w:val="center"/>
          </w:tcPr>
          <w:p w14:paraId="68B6CC9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事件管理</w:t>
            </w:r>
          </w:p>
        </w:tc>
        <w:tc>
          <w:tcPr>
            <w:tcW w:w="1698" w:type="dxa"/>
            <w:shd w:val="clear" w:color="auto" w:fill="auto"/>
          </w:tcPr>
          <w:p w14:paraId="61C4B0F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事件响应及时率</w:t>
            </w:r>
          </w:p>
        </w:tc>
        <w:tc>
          <w:tcPr>
            <w:tcW w:w="1420" w:type="dxa"/>
            <w:shd w:val="clear" w:color="auto" w:fill="auto"/>
          </w:tcPr>
          <w:p w14:paraId="4FEB33E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(规定时间内响应的事件数/事件总数)×100%</w:t>
            </w:r>
          </w:p>
        </w:tc>
        <w:tc>
          <w:tcPr>
            <w:tcW w:w="1420" w:type="dxa"/>
            <w:shd w:val="clear" w:color="auto" w:fill="auto"/>
          </w:tcPr>
          <w:p w14:paraId="382317C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421" w:type="dxa"/>
            <w:shd w:val="clear" w:color="auto" w:fill="auto"/>
          </w:tcPr>
          <w:p w14:paraId="0414BAE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  <w:tr w14:paraId="4D001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Merge w:val="continue"/>
            <w:vAlign w:val="center"/>
          </w:tcPr>
          <w:p w14:paraId="08CF89A5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Merge w:val="continue"/>
            <w:vAlign w:val="center"/>
          </w:tcPr>
          <w:p w14:paraId="268ED09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698" w:type="dxa"/>
            <w:shd w:val="clear" w:color="auto" w:fill="auto"/>
          </w:tcPr>
          <w:p w14:paraId="43F407A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事件按时解决率</w:t>
            </w:r>
          </w:p>
        </w:tc>
        <w:tc>
          <w:tcPr>
            <w:tcW w:w="1420" w:type="dxa"/>
            <w:shd w:val="clear" w:color="auto" w:fill="auto"/>
          </w:tcPr>
          <w:p w14:paraId="21899AC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规定时间内成功解决的事件数/事件总数×100%</w:t>
            </w:r>
          </w:p>
        </w:tc>
        <w:tc>
          <w:tcPr>
            <w:tcW w:w="1420" w:type="dxa"/>
            <w:shd w:val="clear" w:color="auto" w:fill="auto"/>
          </w:tcPr>
          <w:p w14:paraId="5669451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421" w:type="dxa"/>
            <w:shd w:val="clear" w:color="auto" w:fill="auto"/>
          </w:tcPr>
          <w:p w14:paraId="20E7951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</w:tr>
      <w:tr w14:paraId="5ACEB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04CF6F90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4FC03B3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问题管理</w:t>
            </w:r>
          </w:p>
        </w:tc>
        <w:tc>
          <w:tcPr>
            <w:tcW w:w="1698" w:type="dxa"/>
            <w:shd w:val="clear" w:color="auto" w:fill="auto"/>
          </w:tcPr>
          <w:p w14:paraId="6B2A6F0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问题解决率</w:t>
            </w:r>
          </w:p>
        </w:tc>
        <w:tc>
          <w:tcPr>
            <w:tcW w:w="1420" w:type="dxa"/>
            <w:shd w:val="clear" w:color="auto" w:fill="auto"/>
          </w:tcPr>
          <w:p w14:paraId="56CB590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实际解决的问题数/问题总数×100 %</w:t>
            </w:r>
          </w:p>
        </w:tc>
        <w:tc>
          <w:tcPr>
            <w:tcW w:w="1420" w:type="dxa"/>
            <w:shd w:val="clear" w:color="auto" w:fill="auto"/>
          </w:tcPr>
          <w:p w14:paraId="45E6EC3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21" w:type="dxa"/>
            <w:shd w:val="clear" w:color="auto" w:fill="auto"/>
          </w:tcPr>
          <w:p w14:paraId="4DF6706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  <w:tr w14:paraId="75C13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308AC881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2A454CD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变更管理</w:t>
            </w:r>
          </w:p>
        </w:tc>
        <w:tc>
          <w:tcPr>
            <w:tcW w:w="1698" w:type="dxa"/>
            <w:shd w:val="clear" w:color="auto" w:fill="auto"/>
          </w:tcPr>
          <w:p w14:paraId="2ABDAC2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变更成功率</w:t>
            </w:r>
          </w:p>
        </w:tc>
        <w:tc>
          <w:tcPr>
            <w:tcW w:w="1420" w:type="dxa"/>
            <w:shd w:val="clear" w:color="auto" w:fill="auto"/>
          </w:tcPr>
          <w:p w14:paraId="756B69F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(变次成功次数/变更总次数)×100%</w:t>
            </w:r>
          </w:p>
        </w:tc>
        <w:tc>
          <w:tcPr>
            <w:tcW w:w="1420" w:type="dxa"/>
            <w:shd w:val="clear" w:color="auto" w:fill="auto"/>
          </w:tcPr>
          <w:p w14:paraId="5D5D464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21" w:type="dxa"/>
            <w:shd w:val="clear" w:color="auto" w:fill="auto"/>
          </w:tcPr>
          <w:p w14:paraId="318E983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  <w:tr w14:paraId="40174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366C2DD3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617FCFB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发布管理</w:t>
            </w:r>
          </w:p>
        </w:tc>
        <w:tc>
          <w:tcPr>
            <w:tcW w:w="1698" w:type="dxa"/>
            <w:shd w:val="clear" w:color="auto" w:fill="auto"/>
          </w:tcPr>
          <w:p w14:paraId="524C613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发布成功率</w:t>
            </w:r>
          </w:p>
        </w:tc>
        <w:tc>
          <w:tcPr>
            <w:tcW w:w="1420" w:type="dxa"/>
            <w:shd w:val="clear" w:color="auto" w:fill="auto"/>
          </w:tcPr>
          <w:p w14:paraId="46E5D37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(发布成功次数/发布总次数)×100%</w:t>
            </w:r>
          </w:p>
        </w:tc>
        <w:tc>
          <w:tcPr>
            <w:tcW w:w="1420" w:type="dxa"/>
            <w:shd w:val="clear" w:color="auto" w:fill="auto"/>
          </w:tcPr>
          <w:p w14:paraId="6409914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21" w:type="dxa"/>
            <w:shd w:val="clear" w:color="auto" w:fill="auto"/>
          </w:tcPr>
          <w:p w14:paraId="5BA5D70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  <w:tr w14:paraId="25B2C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2AB7B2C7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01E91AF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配置管理</w:t>
            </w:r>
          </w:p>
        </w:tc>
        <w:tc>
          <w:tcPr>
            <w:tcW w:w="1698" w:type="dxa"/>
            <w:shd w:val="clear" w:color="auto" w:fill="auto"/>
          </w:tcPr>
          <w:p w14:paraId="5162272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配置准确率</w:t>
            </w:r>
          </w:p>
        </w:tc>
        <w:tc>
          <w:tcPr>
            <w:tcW w:w="1420" w:type="dxa"/>
            <w:shd w:val="clear" w:color="auto" w:fill="auto"/>
          </w:tcPr>
          <w:p w14:paraId="294AF07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(准确配置次数</w:t>
            </w: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配置总次数)×100%</w:t>
            </w:r>
          </w:p>
        </w:tc>
        <w:tc>
          <w:tcPr>
            <w:tcW w:w="1420" w:type="dxa"/>
            <w:shd w:val="clear" w:color="auto" w:fill="auto"/>
          </w:tcPr>
          <w:p w14:paraId="4BF8048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21" w:type="dxa"/>
            <w:shd w:val="clear" w:color="auto" w:fill="auto"/>
          </w:tcPr>
          <w:p w14:paraId="3D1FECB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</w:tr>
      <w:tr w14:paraId="4E2F9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Merge w:val="restart"/>
            <w:vAlign w:val="center"/>
          </w:tcPr>
          <w:p w14:paraId="50958368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Merge w:val="restart"/>
            <w:vAlign w:val="center"/>
          </w:tcPr>
          <w:p w14:paraId="5937F2A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服务可用性和连续性管理</w:t>
            </w:r>
          </w:p>
        </w:tc>
        <w:tc>
          <w:tcPr>
            <w:tcW w:w="1698" w:type="dxa"/>
            <w:shd w:val="clear" w:color="auto" w:fill="auto"/>
          </w:tcPr>
          <w:p w14:paraId="2B5E3B3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关键服务可用率</w:t>
            </w:r>
          </w:p>
        </w:tc>
        <w:tc>
          <w:tcPr>
            <w:tcW w:w="1420" w:type="dxa"/>
            <w:shd w:val="clear" w:color="auto" w:fill="auto"/>
          </w:tcPr>
          <w:p w14:paraId="53A4544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(服务约定运行时间 - 服务不可用时间)</w:t>
            </w: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服务约定运行时间×100%</w:t>
            </w:r>
          </w:p>
        </w:tc>
        <w:tc>
          <w:tcPr>
            <w:tcW w:w="1420" w:type="dxa"/>
            <w:shd w:val="clear" w:color="auto" w:fill="auto"/>
          </w:tcPr>
          <w:p w14:paraId="36B3A07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421" w:type="dxa"/>
            <w:shd w:val="clear" w:color="auto" w:fill="auto"/>
          </w:tcPr>
          <w:p w14:paraId="3EE0508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</w:tr>
      <w:tr w14:paraId="1D237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Merge w:val="continue"/>
            <w:vAlign w:val="center"/>
          </w:tcPr>
          <w:p w14:paraId="2F02E714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Merge w:val="continue"/>
            <w:vAlign w:val="center"/>
          </w:tcPr>
          <w:p w14:paraId="152F13F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698" w:type="dxa"/>
            <w:shd w:val="clear" w:color="auto" w:fill="auto"/>
          </w:tcPr>
          <w:p w14:paraId="01004EC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服务中断事件数量</w:t>
            </w:r>
          </w:p>
        </w:tc>
        <w:tc>
          <w:tcPr>
            <w:tcW w:w="1420" w:type="dxa"/>
            <w:shd w:val="clear" w:color="auto" w:fill="auto"/>
          </w:tcPr>
          <w:p w14:paraId="4FEA0C5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统计期内导致服务不可用的事件发生次数</w:t>
            </w:r>
          </w:p>
        </w:tc>
        <w:tc>
          <w:tcPr>
            <w:tcW w:w="1420" w:type="dxa"/>
            <w:shd w:val="clear" w:color="auto" w:fill="auto"/>
          </w:tcPr>
          <w:p w14:paraId="404A587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421" w:type="dxa"/>
            <w:shd w:val="clear" w:color="auto" w:fill="auto"/>
          </w:tcPr>
          <w:p w14:paraId="6BE3484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</w:tr>
      <w:tr w14:paraId="05BE2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66E3F8CB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778F919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容量管理</w:t>
            </w:r>
          </w:p>
        </w:tc>
        <w:tc>
          <w:tcPr>
            <w:tcW w:w="1698" w:type="dxa"/>
            <w:shd w:val="clear" w:color="auto" w:fill="auto"/>
          </w:tcPr>
          <w:p w14:paraId="243AC9C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容量事件次数</w:t>
            </w:r>
          </w:p>
        </w:tc>
        <w:tc>
          <w:tcPr>
            <w:tcW w:w="1420" w:type="dxa"/>
            <w:shd w:val="clear" w:color="auto" w:fill="auto"/>
          </w:tcPr>
          <w:p w14:paraId="0E5F5E5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因容量不足导致的服务事件数量</w:t>
            </w:r>
          </w:p>
        </w:tc>
        <w:tc>
          <w:tcPr>
            <w:tcW w:w="1420" w:type="dxa"/>
            <w:shd w:val="clear" w:color="auto" w:fill="auto"/>
          </w:tcPr>
          <w:p w14:paraId="55666BD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21" w:type="dxa"/>
            <w:shd w:val="clear" w:color="auto" w:fill="auto"/>
          </w:tcPr>
          <w:p w14:paraId="1A1D0D4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</w:tr>
      <w:tr w14:paraId="0E219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66983BE0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199E2EA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信息安全管理</w:t>
            </w:r>
          </w:p>
        </w:tc>
        <w:tc>
          <w:tcPr>
            <w:tcW w:w="1698" w:type="dxa"/>
            <w:shd w:val="clear" w:color="auto" w:fill="auto"/>
          </w:tcPr>
          <w:p w14:paraId="412A7EE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信息泄露次数</w:t>
            </w:r>
          </w:p>
        </w:tc>
        <w:tc>
          <w:tcPr>
            <w:tcW w:w="1420" w:type="dxa"/>
            <w:shd w:val="clear" w:color="auto" w:fill="auto"/>
          </w:tcPr>
          <w:p w14:paraId="4BE81E9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客户信息泄露的事件次数</w:t>
            </w:r>
          </w:p>
        </w:tc>
        <w:tc>
          <w:tcPr>
            <w:tcW w:w="1420" w:type="dxa"/>
            <w:shd w:val="clear" w:color="auto" w:fill="auto"/>
          </w:tcPr>
          <w:p w14:paraId="70C08AA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1421" w:type="dxa"/>
            <w:shd w:val="clear" w:color="auto" w:fill="auto"/>
          </w:tcPr>
          <w:p w14:paraId="2ED16E8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≤2次</w:t>
            </w:r>
          </w:p>
        </w:tc>
      </w:tr>
    </w:tbl>
    <w:p w14:paraId="158F795C">
      <w:pPr>
        <w:pStyle w:val="29"/>
        <w:ind w:left="0" w:leftChars="0" w:right="0" w:rightChars="0" w:firstLine="0" w:firstLineChars="0"/>
        <w:jc w:val="both"/>
        <w:rPr>
          <w:rFonts w:hint="default"/>
          <w:vertAlign w:val="baseline"/>
          <w:lang w:val="en-US" w:eastAsia="zh-CN"/>
        </w:rPr>
      </w:pPr>
    </w:p>
    <w:sectPr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0FE4DE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  <w:tab/>
      <w:t>重庆市鹧鸪哨信息技术有限责任公司</w:t>
    </w:r>
    <w:r>
      <w:rPr>
        <w:rFonts w:hint="eastAsia" w:eastAsiaTheme="minorEastAsia"/>
        <w:lang w:val="en-US" w:eastAsia="zh-CN"/>
      </w:rPr>
    </w:r>
    <w:r>
      <w:rPr>
        <w:rFonts w:hint="eastAsia" w:eastAsiaTheme="minorEastAsia"/>
        <w:lang w:val="en-US" w:eastAsia="zh-CN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75BF121"/>
    <w:multiLevelType w:val="singleLevel"/>
    <w:tmpl w:val="B75BF12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79B74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599</Words>
  <Characters>703</Characters>
  <Lines>0</Lines>
  <Paragraphs>0</Paragraphs>
  <TotalTime>1</TotalTime>
  <ScaleCrop>false</ScaleCrop>
  <LinksUpToDate>false</LinksUpToDate>
  <CharactersWithSpaces>708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2026-05-25T03:44:26Z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