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E6B6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69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0A6316D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0482"/>
      <w:r>
        <w:rPr>
          <w:rFonts w:hint="eastAsia"/>
          <w:lang w:val="en-US" w:eastAsia="zh-CN"/>
        </w:rPr>
        <w:t>过程框架需求分析报告</w:t>
      </w:r>
      <w:bookmarkEnd w:id="1"/>
    </w:p>
    <w:p w14:paraId="5FC8454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文件编号：ZGS-06-18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46A4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28470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43E72B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73B9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E8352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37CC4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54" w:name="_GoBack"/>
            <w:bookmarkEnd w:id="54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596E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98A93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24844C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9E7A66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644DC2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95AB1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567FD5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35A3B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11AEE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47FC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71DE5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1B17BF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69338B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6C9ED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96887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421309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6FB3EB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5EC71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AF7B0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1464ED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27BE8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62800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910FD2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1FF79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699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1FA0E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5990FF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E0594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0E606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062FE3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156BBE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8B76AB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63F6C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_Toc27691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014B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过程框架需求分析报告</w:t>
          </w:r>
          <w:r>
            <w:tab/>
          </w:r>
          <w:r>
            <w:fldChar w:fldCharType="begin"/>
          </w:r>
          <w:r>
            <w:instrText xml:space="preserve"> PAGEREF _Toc20482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19BB1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_Toc18312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B61B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具体内容</w:t>
          </w:r>
          <w:r>
            <w:tab/>
          </w:r>
          <w:r>
            <w:fldChar w:fldCharType="begin"/>
          </w:r>
          <w:r>
            <w:instrText xml:space="preserve"> PAGEREF _Toc18884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2DFD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服务级别管理</w:t>
          </w:r>
          <w:r>
            <w:tab/>
          </w:r>
          <w:r>
            <w:fldChar w:fldCharType="begin"/>
          </w:r>
          <w:r>
            <w:instrText xml:space="preserve"> PAGEREF _Toc21208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BCCA7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2.1.1. 管理范围</w:t>
          </w:r>
          <w:r>
            <w:tab/>
          </w:r>
          <w:r>
            <w:fldChar w:fldCharType="begin"/>
          </w:r>
          <w:r>
            <w:instrText xml:space="preserve"> PAGEREF _Toc27057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FDBD3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2.1.2. 管理目标</w:t>
          </w:r>
          <w:r>
            <w:tab/>
          </w:r>
          <w:r>
            <w:fldChar w:fldCharType="begin"/>
          </w:r>
          <w:r>
            <w:instrText xml:space="preserve"> PAGEREF _Toc10907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4EF4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2.1.3. 关键绩效指标（KPI）</w:t>
          </w:r>
          <w:r>
            <w:tab/>
          </w:r>
          <w:r>
            <w:fldChar w:fldCharType="begin"/>
          </w:r>
          <w:r>
            <w:instrText xml:space="preserve"> PAGEREF _Toc17514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A9C8C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2.1.4. 主要参与方</w:t>
          </w:r>
          <w:r>
            <w:tab/>
          </w:r>
          <w:r>
            <w:fldChar w:fldCharType="begin"/>
          </w:r>
          <w:r>
            <w:instrText xml:space="preserve"> PAGEREF _Toc23175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94CD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服务报告管理</w:t>
          </w:r>
          <w:r>
            <w:tab/>
          </w:r>
          <w:r>
            <w:fldChar w:fldCharType="begin"/>
          </w:r>
          <w:r>
            <w:instrText xml:space="preserve"> PAGEREF _Toc16898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1F8BD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管理范围</w:t>
          </w:r>
          <w:r>
            <w:tab/>
          </w:r>
          <w:r>
            <w:fldChar w:fldCharType="begin"/>
          </w:r>
          <w:r>
            <w:instrText xml:space="preserve"> PAGEREF _Toc20685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74257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管理目标</w:t>
          </w:r>
          <w:r>
            <w:tab/>
          </w:r>
          <w:r>
            <w:fldChar w:fldCharType="begin"/>
          </w:r>
          <w:r>
            <w:instrText xml:space="preserve"> PAGEREF _Toc19620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C23B1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关键绩效指标（KPI）</w:t>
          </w:r>
          <w:r>
            <w:tab/>
          </w:r>
          <w:r>
            <w:fldChar w:fldCharType="begin"/>
          </w:r>
          <w:r>
            <w:instrText xml:space="preserve"> PAGEREF _Toc14503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74826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2.2.4. 要参与方</w:t>
          </w:r>
          <w:r>
            <w:tab/>
          </w:r>
          <w:r>
            <w:fldChar w:fldCharType="begin"/>
          </w:r>
          <w:r>
            <w:instrText xml:space="preserve"> PAGEREF _Toc3448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D5B0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事件管理</w:t>
          </w:r>
          <w:r>
            <w:tab/>
          </w:r>
          <w:r>
            <w:fldChar w:fldCharType="begin"/>
          </w:r>
          <w:r>
            <w:instrText xml:space="preserve"> PAGEREF _Toc24101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778C5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2.3.1. 管理范围</w:t>
          </w:r>
          <w:r>
            <w:tab/>
          </w:r>
          <w:r>
            <w:fldChar w:fldCharType="begin"/>
          </w:r>
          <w:r>
            <w:instrText xml:space="preserve"> PAGEREF _Toc29102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03867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2.3.2. 管理目标</w:t>
          </w:r>
          <w:r>
            <w:tab/>
          </w:r>
          <w:r>
            <w:fldChar w:fldCharType="begin"/>
          </w:r>
          <w:r>
            <w:instrText xml:space="preserve"> PAGEREF _Toc3476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57658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2.3.3. 关键绩效指标（KPI）</w:t>
          </w:r>
          <w:r>
            <w:tab/>
          </w:r>
          <w:r>
            <w:fldChar w:fldCharType="begin"/>
          </w:r>
          <w:r>
            <w:instrText xml:space="preserve"> PAGEREF _Toc16594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08FB4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2.3.4. 主要参与方</w:t>
          </w:r>
          <w:r>
            <w:tab/>
          </w:r>
          <w:r>
            <w:fldChar w:fldCharType="begin"/>
          </w:r>
          <w:r>
            <w:instrText xml:space="preserve"> PAGEREF _Toc13048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EBCFB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问题管理</w:t>
          </w:r>
          <w:r>
            <w:tab/>
          </w:r>
          <w:r>
            <w:fldChar w:fldCharType="begin"/>
          </w:r>
          <w:r>
            <w:instrText xml:space="preserve"> PAGEREF _Toc5849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2B81A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2.4.1. 管理范围</w:t>
          </w:r>
          <w:r>
            <w:tab/>
          </w:r>
          <w:r>
            <w:fldChar w:fldCharType="begin"/>
          </w:r>
          <w:r>
            <w:instrText xml:space="preserve"> PAGEREF _Toc25193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8ADC2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2.4.2. 管理目标</w:t>
          </w:r>
          <w:r>
            <w:tab/>
          </w:r>
          <w:r>
            <w:fldChar w:fldCharType="begin"/>
          </w:r>
          <w:r>
            <w:instrText xml:space="preserve"> PAGEREF _Toc26508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575C4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2.4.3. 关键绩效指标（KPI）</w:t>
          </w:r>
          <w:r>
            <w:tab/>
          </w:r>
          <w:r>
            <w:fldChar w:fldCharType="begin"/>
          </w:r>
          <w:r>
            <w:instrText xml:space="preserve"> PAGEREF _Toc30812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82F10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2.4.4. 主要参与方</w:t>
          </w:r>
          <w:r>
            <w:tab/>
          </w:r>
          <w:r>
            <w:fldChar w:fldCharType="begin"/>
          </w:r>
          <w:r>
            <w:instrText xml:space="preserve"> PAGEREF _Toc7729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9DF4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变更管理</w:t>
          </w:r>
          <w:r>
            <w:tab/>
          </w:r>
          <w:r>
            <w:fldChar w:fldCharType="begin"/>
          </w:r>
          <w:r>
            <w:instrText xml:space="preserve"> PAGEREF _Toc14614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3F00A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2.5.1. 管理范围</w:t>
          </w:r>
          <w:r>
            <w:tab/>
          </w:r>
          <w:r>
            <w:fldChar w:fldCharType="begin"/>
          </w:r>
          <w:r>
            <w:instrText xml:space="preserve"> PAGEREF _Toc17321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E5A10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2.5.2. 管理目标</w:t>
          </w:r>
          <w:r>
            <w:tab/>
          </w:r>
          <w:r>
            <w:fldChar w:fldCharType="begin"/>
          </w:r>
          <w:r>
            <w:instrText xml:space="preserve"> PAGEREF _Toc20702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ECB55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2.5.3. 关键绩效指标（KPI）</w:t>
          </w:r>
          <w:r>
            <w:tab/>
          </w:r>
          <w:r>
            <w:fldChar w:fldCharType="begin"/>
          </w:r>
          <w:r>
            <w:instrText xml:space="preserve"> PAGEREF _Toc9822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03572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2.5.4. 主要参与方</w:t>
          </w:r>
          <w:r>
            <w:tab/>
          </w:r>
          <w:r>
            <w:fldChar w:fldCharType="begin"/>
          </w:r>
          <w:r>
            <w:instrText xml:space="preserve"> PAGEREF _Toc25266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9C48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2.6. 发布管理</w:t>
          </w:r>
          <w:r>
            <w:tab/>
          </w:r>
          <w:r>
            <w:fldChar w:fldCharType="begin"/>
          </w:r>
          <w:r>
            <w:instrText xml:space="preserve"> PAGEREF _Toc6832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8CC39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2.6.1. 管理范围</w:t>
          </w:r>
          <w:r>
            <w:tab/>
          </w:r>
          <w:r>
            <w:fldChar w:fldCharType="begin"/>
          </w:r>
          <w:r>
            <w:instrText xml:space="preserve"> PAGEREF _Toc376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3CA38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2.6.2. 管理目标</w:t>
          </w:r>
          <w:r>
            <w:tab/>
          </w:r>
          <w:r>
            <w:fldChar w:fldCharType="begin"/>
          </w:r>
          <w:r>
            <w:instrText xml:space="preserve"> PAGEREF _Toc24520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4D341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2.6.3. 关键绩效指标（KPI）</w:t>
          </w:r>
          <w:r>
            <w:tab/>
          </w:r>
          <w:r>
            <w:fldChar w:fldCharType="begin"/>
          </w:r>
          <w:r>
            <w:instrText xml:space="preserve"> PAGEREF _Toc4114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6BC5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2.6.4. 主要参与方</w:t>
          </w:r>
          <w:r>
            <w:tab/>
          </w:r>
          <w:r>
            <w:fldChar w:fldCharType="begin"/>
          </w:r>
          <w:r>
            <w:instrText xml:space="preserve"> PAGEREF _Toc21493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5DDE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 配置管理</w:t>
          </w:r>
          <w:r>
            <w:tab/>
          </w:r>
          <w:r>
            <w:fldChar w:fldCharType="begin"/>
          </w:r>
          <w:r>
            <w:instrText xml:space="preserve"> PAGEREF _Toc9917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BD3DF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2.7.1. 管理范围</w:t>
          </w:r>
          <w:r>
            <w:tab/>
          </w:r>
          <w:r>
            <w:fldChar w:fldCharType="begin"/>
          </w:r>
          <w:r>
            <w:instrText xml:space="preserve"> PAGEREF _Toc15615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48DA9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2.7.2. 管理目标</w:t>
          </w:r>
          <w:r>
            <w:tab/>
          </w:r>
          <w:r>
            <w:fldChar w:fldCharType="begin"/>
          </w:r>
          <w:r>
            <w:instrText xml:space="preserve"> PAGEREF _Toc20634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9346F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2.7.3. 关键绩效指标（KPI）</w:t>
          </w:r>
          <w:r>
            <w:tab/>
          </w:r>
          <w:r>
            <w:fldChar w:fldCharType="begin"/>
          </w:r>
          <w:r>
            <w:instrText xml:space="preserve"> PAGEREF _Toc19481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FFE3A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2.7.4. 主要参与方</w:t>
          </w:r>
          <w:r>
            <w:tab/>
          </w:r>
          <w:r>
            <w:fldChar w:fldCharType="begin"/>
          </w:r>
          <w:r>
            <w:instrText xml:space="preserve"> PAGEREF _Toc19031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DCB2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2.8. 可用性和连续性管理</w:t>
          </w:r>
          <w:r>
            <w:tab/>
          </w:r>
          <w:r>
            <w:fldChar w:fldCharType="begin"/>
          </w:r>
          <w:r>
            <w:instrText xml:space="preserve"> PAGEREF _Toc601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D173A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2.8.1. 管理范围</w:t>
          </w:r>
          <w:r>
            <w:tab/>
          </w:r>
          <w:r>
            <w:fldChar w:fldCharType="begin"/>
          </w:r>
          <w:r>
            <w:instrText xml:space="preserve"> PAGEREF _Toc29523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7E741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2.8.2. 管理目标</w:t>
          </w:r>
          <w:r>
            <w:tab/>
          </w:r>
          <w:r>
            <w:fldChar w:fldCharType="begin"/>
          </w:r>
          <w:r>
            <w:instrText xml:space="preserve"> PAGEREF _Toc468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5404A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2.8.3. 关键绩效指标（KPI）</w:t>
          </w:r>
          <w:r>
            <w:tab/>
          </w:r>
          <w:r>
            <w:fldChar w:fldCharType="begin"/>
          </w:r>
          <w:r>
            <w:instrText xml:space="preserve"> PAGEREF _Toc27827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60E45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2.8.4. 主要参与方</w:t>
          </w:r>
          <w:r>
            <w:tab/>
          </w:r>
          <w:r>
            <w:fldChar w:fldCharType="begin"/>
          </w:r>
          <w:r>
            <w:instrText xml:space="preserve"> PAGEREF _Toc30941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A642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2.9. 容量管理</w:t>
          </w:r>
          <w:r>
            <w:tab/>
          </w:r>
          <w:r>
            <w:fldChar w:fldCharType="begin"/>
          </w:r>
          <w:r>
            <w:instrText xml:space="preserve"> PAGEREF _Toc32318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CED1C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2.9.1. 管理范围</w:t>
          </w:r>
          <w:r>
            <w:tab/>
          </w:r>
          <w:r>
            <w:fldChar w:fldCharType="begin"/>
          </w:r>
          <w:r>
            <w:instrText xml:space="preserve"> PAGEREF _Toc32754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0C08E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2.9.2. 管理目标</w:t>
          </w:r>
          <w:r>
            <w:tab/>
          </w:r>
          <w:r>
            <w:fldChar w:fldCharType="begin"/>
          </w:r>
          <w:r>
            <w:instrText xml:space="preserve"> PAGEREF _Toc22267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7BCAF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2.9.3. 关键绩效指标（KPI）</w:t>
          </w:r>
          <w:r>
            <w:tab/>
          </w:r>
          <w:r>
            <w:fldChar w:fldCharType="begin"/>
          </w:r>
          <w:r>
            <w:instrText xml:space="preserve"> PAGEREF _Toc18527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235D5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2.9.4. 主要参与方</w:t>
          </w:r>
          <w:r>
            <w:tab/>
          </w:r>
          <w:r>
            <w:fldChar w:fldCharType="begin"/>
          </w:r>
          <w:r>
            <w:instrText xml:space="preserve"> PAGEREF _Toc12264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2DE1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2.10. 信息安全管理</w:t>
          </w:r>
          <w:r>
            <w:tab/>
          </w:r>
          <w:r>
            <w:fldChar w:fldCharType="begin"/>
          </w:r>
          <w:r>
            <w:instrText xml:space="preserve"> PAGEREF _Toc10396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4A376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2.10.1. 管理范围</w:t>
          </w:r>
          <w:r>
            <w:tab/>
          </w:r>
          <w:r>
            <w:fldChar w:fldCharType="begin"/>
          </w:r>
          <w:r>
            <w:instrText xml:space="preserve"> PAGEREF _Toc18757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E16AA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2.10.2. 管理目标</w:t>
          </w:r>
          <w:r>
            <w:tab/>
          </w:r>
          <w:r>
            <w:fldChar w:fldCharType="begin"/>
          </w:r>
          <w:r>
            <w:instrText xml:space="preserve"> PAGEREF _Toc15597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79CBB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2.10.3. 关键绩效指标（KPI）</w:t>
          </w:r>
          <w:r>
            <w:tab/>
          </w:r>
          <w:r>
            <w:fldChar w:fldCharType="begin"/>
          </w:r>
          <w:r>
            <w:instrText xml:space="preserve"> PAGEREF _Toc16191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2FDAF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2.10.4. 主要参与方</w:t>
          </w:r>
          <w:r>
            <w:tab/>
          </w:r>
          <w:r>
            <w:fldChar w:fldCharType="begin"/>
          </w:r>
          <w:r>
            <w:instrText xml:space="preserve"> PAGEREF _Toc17881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CD04B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74743F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60FA7C1">
      <w:pPr>
        <w:pStyle w:val="28"/>
        <w:bidi w:val="0"/>
        <w:rPr>
          <w:rFonts w:hint="eastAsia"/>
          <w:lang w:val="en-US" w:eastAsia="zh-CN"/>
        </w:rPr>
      </w:pPr>
      <w:bookmarkStart w:id="2" w:name="_Toc18312"/>
      <w:r>
        <w:rPr>
          <w:rFonts w:hint="eastAsia"/>
          <w:lang w:val="en-US" w:eastAsia="zh-CN"/>
        </w:rPr>
        <w:t>目的</w:t>
      </w:r>
      <w:bookmarkEnd w:id="2"/>
    </w:p>
    <w:p w14:paraId="568D5093">
      <w:pPr>
        <w:pStyle w:val="29"/>
        <w:bidi w:val="0"/>
      </w:pPr>
      <w:r>
        <w:t>为进一步明确服务过程所涉及的运维服务管理要求，运维部与人力资源、技术、质量、市场等相关方开展了多轮调研与沟通，在充分收集并整合各方意见的基础上，形成本文件，用以指导后续过程框架的设计与优化，确保其全面贴合运维服务各相关方的实际需求。</w:t>
      </w:r>
    </w:p>
    <w:p w14:paraId="3915B6A6">
      <w:pPr>
        <w:pStyle w:val="28"/>
        <w:bidi w:val="0"/>
        <w:rPr>
          <w:rFonts w:hint="default"/>
          <w:lang w:val="en-US" w:eastAsia="zh-CN"/>
        </w:rPr>
      </w:pPr>
      <w:bookmarkStart w:id="3" w:name="_Toc18884"/>
      <w:r>
        <w:rPr>
          <w:rFonts w:hint="eastAsia"/>
          <w:lang w:val="en-US" w:eastAsia="zh-CN"/>
        </w:rPr>
        <w:t>具体内容</w:t>
      </w:r>
      <w:bookmarkEnd w:id="3"/>
    </w:p>
    <w:p w14:paraId="621239AC">
      <w:pPr>
        <w:pStyle w:val="30"/>
        <w:bidi w:val="0"/>
        <w:rPr>
          <w:rFonts w:hint="default"/>
          <w:lang w:val="en-US" w:eastAsia="zh-CN"/>
        </w:rPr>
      </w:pPr>
      <w:bookmarkStart w:id="4" w:name="_Toc21208"/>
      <w:r>
        <w:rPr>
          <w:rFonts w:hint="default"/>
          <w:lang w:val="en-US" w:eastAsia="zh-CN"/>
        </w:rPr>
        <w:t>服务级别管理</w:t>
      </w:r>
      <w:bookmarkEnd w:id="4"/>
    </w:p>
    <w:p w14:paraId="5024E99A">
      <w:pPr>
        <w:pStyle w:val="31"/>
        <w:bidi w:val="0"/>
        <w:rPr>
          <w:rFonts w:hint="default"/>
          <w:lang w:val="en-US" w:eastAsia="zh-CN"/>
        </w:rPr>
      </w:pPr>
      <w:bookmarkStart w:id="5" w:name="_Toc27057"/>
      <w:r>
        <w:rPr>
          <w:rFonts w:hint="default"/>
          <w:lang w:val="en-US" w:eastAsia="zh-CN"/>
        </w:rPr>
        <w:t>管理范围</w:t>
      </w:r>
      <w:bookmarkEnd w:id="5"/>
    </w:p>
    <w:p w14:paraId="3C3C85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涵盖公司相关产品及支持软件，从客户运维服务需求受理、方案提供、服务级别协议（SLA）签订到SLA实施与监控的全生命周期管理。</w:t>
      </w:r>
    </w:p>
    <w:p w14:paraId="0CC812AB">
      <w:pPr>
        <w:pStyle w:val="31"/>
        <w:bidi w:val="0"/>
        <w:rPr>
          <w:rFonts w:hint="default"/>
          <w:lang w:val="en-US" w:eastAsia="zh-CN"/>
        </w:rPr>
      </w:pPr>
      <w:bookmarkStart w:id="6" w:name="_Toc10907"/>
      <w:r>
        <w:rPr>
          <w:rFonts w:hint="default"/>
          <w:lang w:val="en-US" w:eastAsia="zh-CN"/>
        </w:rPr>
        <w:t>管理目标</w:t>
      </w:r>
      <w:bookmarkEnd w:id="6"/>
    </w:p>
    <w:p w14:paraId="28D675A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确保所管理的服务与组织级服务目录保持一致，新增或变更的服务需经相关方评估后方可发布。</w:t>
      </w:r>
    </w:p>
    <w:p w14:paraId="08180C5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明确管理流程及各角色在流程中的职责。</w:t>
      </w:r>
    </w:p>
    <w:p w14:paraId="7CF277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通过工具化手段确保SLA有效落地，实时掌握SLA达成情况，并能及时处理异常。</w:t>
      </w:r>
    </w:p>
    <w:p w14:paraId="13FFB9A6">
      <w:pPr>
        <w:pStyle w:val="31"/>
        <w:bidi w:val="0"/>
        <w:rPr>
          <w:rFonts w:hint="default"/>
          <w:lang w:val="en-US" w:eastAsia="zh-CN"/>
        </w:rPr>
      </w:pPr>
      <w:bookmarkStart w:id="7" w:name="_Toc17514"/>
      <w:r>
        <w:rPr>
          <w:rFonts w:hint="default"/>
          <w:lang w:val="en-US" w:eastAsia="zh-CN"/>
        </w:rPr>
        <w:t>关键绩效指标（KPI）</w:t>
      </w:r>
      <w:bookmarkEnd w:id="7"/>
    </w:p>
    <w:tbl>
      <w:tblPr>
        <w:tblStyle w:val="26"/>
        <w:tblW w:w="7614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3261"/>
        <w:gridCol w:w="1308"/>
        <w:gridCol w:w="1488"/>
      </w:tblGrid>
      <w:tr w14:paraId="2461ED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557" w:type="dxa"/>
            <w:shd w:val="clear" w:color="auto" w:fill="auto"/>
          </w:tcPr>
          <w:p w14:paraId="5FC8B06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衡量指标</w:t>
            </w:r>
          </w:p>
        </w:tc>
        <w:tc>
          <w:tcPr>
            <w:tcW w:w="3261" w:type="dxa"/>
            <w:shd w:val="clear" w:color="auto" w:fill="auto"/>
          </w:tcPr>
          <w:p w14:paraId="4C057CC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指标说明</w:t>
            </w:r>
          </w:p>
        </w:tc>
        <w:tc>
          <w:tcPr>
            <w:tcW w:w="1308" w:type="dxa"/>
            <w:shd w:val="clear" w:color="auto" w:fill="auto"/>
          </w:tcPr>
          <w:p w14:paraId="4648CA9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考核频次</w:t>
            </w:r>
          </w:p>
        </w:tc>
        <w:tc>
          <w:tcPr>
            <w:tcW w:w="1488" w:type="dxa"/>
            <w:shd w:val="clear" w:color="auto" w:fill="auto"/>
          </w:tcPr>
          <w:p w14:paraId="5C03AFF5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目标值</w:t>
            </w:r>
          </w:p>
        </w:tc>
      </w:tr>
      <w:tr w14:paraId="00B4A5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1557" w:type="dxa"/>
            <w:shd w:val="clear" w:color="auto" w:fill="auto"/>
          </w:tcPr>
          <w:p w14:paraId="0AFE9A6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3261" w:type="dxa"/>
            <w:shd w:val="clear" w:color="auto" w:fill="auto"/>
          </w:tcPr>
          <w:p w14:paraId="2924934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(满足服务级别的事件数/事件总数)*100%</w:t>
            </w:r>
          </w:p>
        </w:tc>
        <w:tc>
          <w:tcPr>
            <w:tcW w:w="1308" w:type="dxa"/>
            <w:shd w:val="clear" w:color="auto" w:fill="auto"/>
          </w:tcPr>
          <w:p w14:paraId="10BF7AB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88" w:type="dxa"/>
            <w:shd w:val="clear" w:color="auto" w:fill="auto"/>
          </w:tcPr>
          <w:p w14:paraId="2FA9C08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</w:tbl>
    <w:p w14:paraId="76BFFDE3">
      <w:pPr>
        <w:pStyle w:val="31"/>
        <w:bidi w:val="0"/>
        <w:rPr>
          <w:rFonts w:hint="default"/>
          <w:lang w:val="en-US" w:eastAsia="zh-CN"/>
        </w:rPr>
      </w:pPr>
      <w:bookmarkStart w:id="8" w:name="_Toc23175"/>
      <w:r>
        <w:rPr>
          <w:rFonts w:hint="default"/>
          <w:lang w:val="en-US" w:eastAsia="zh-CN"/>
        </w:rPr>
        <w:t>主要参与方</w:t>
      </w:r>
      <w:bookmarkEnd w:id="8"/>
    </w:p>
    <w:p w14:paraId="21E6286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质量部、运维部。</w:t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060CB21B">
      <w:pPr>
        <w:pStyle w:val="30"/>
        <w:bidi w:val="0"/>
        <w:rPr>
          <w:rFonts w:hint="default"/>
          <w:lang w:val="en-US" w:eastAsia="zh-CN"/>
        </w:rPr>
      </w:pPr>
      <w:bookmarkStart w:id="9" w:name="_Toc16898"/>
      <w:r>
        <w:rPr>
          <w:rFonts w:hint="default"/>
          <w:lang w:val="en-US" w:eastAsia="zh-CN"/>
        </w:rPr>
        <w:t>服务报告管理</w:t>
      </w:r>
      <w:bookmarkEnd w:id="9"/>
    </w:p>
    <w:p w14:paraId="4C4CC8AF">
      <w:pPr>
        <w:pStyle w:val="31"/>
        <w:bidi w:val="0"/>
        <w:rPr>
          <w:rFonts w:hint="default"/>
          <w:lang w:val="en-US" w:eastAsia="zh-CN"/>
        </w:rPr>
      </w:pPr>
      <w:bookmarkStart w:id="10" w:name="_Toc20685"/>
      <w:r>
        <w:rPr>
          <w:rFonts w:hint="default"/>
          <w:lang w:val="en-US" w:eastAsia="zh-CN"/>
        </w:rPr>
        <w:t>管理范围</w:t>
      </w:r>
      <w:bookmarkEnd w:id="10"/>
    </w:p>
    <w:p w14:paraId="68114AF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管理运维项目中产生的各类服务报告，包括但不限于各类技术方案、阶段性总结报告、验收汇报等文档。</w:t>
      </w:r>
    </w:p>
    <w:p w14:paraId="60312CAE">
      <w:pPr>
        <w:pStyle w:val="31"/>
        <w:bidi w:val="0"/>
        <w:rPr>
          <w:rFonts w:hint="default"/>
          <w:lang w:val="en-US" w:eastAsia="zh-CN"/>
        </w:rPr>
      </w:pPr>
      <w:bookmarkStart w:id="11" w:name="_Toc19620"/>
      <w:r>
        <w:rPr>
          <w:rFonts w:hint="default"/>
          <w:lang w:val="en-US" w:eastAsia="zh-CN"/>
        </w:rPr>
        <w:t>管理目标</w:t>
      </w:r>
      <w:bookmarkEnd w:id="11"/>
    </w:p>
    <w:p w14:paraId="267CBE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确保输出的各类文件材料符合质量要求、公司业务布局以及客户的实际需求。</w:t>
      </w:r>
    </w:p>
    <w:p w14:paraId="20E33649">
      <w:pPr>
        <w:pStyle w:val="31"/>
        <w:bidi w:val="0"/>
        <w:rPr>
          <w:rFonts w:hint="default"/>
          <w:lang w:val="en-US" w:eastAsia="zh-CN"/>
        </w:rPr>
      </w:pPr>
      <w:bookmarkStart w:id="12" w:name="_Toc14503"/>
      <w:r>
        <w:rPr>
          <w:rFonts w:hint="default"/>
          <w:lang w:val="en-US" w:eastAsia="zh-CN"/>
        </w:rPr>
        <w:t>关键绩效指标（KPI）</w:t>
      </w:r>
      <w:bookmarkEnd w:id="12"/>
    </w:p>
    <w:tbl>
      <w:tblPr>
        <w:tblStyle w:val="26"/>
        <w:tblW w:w="7614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3261"/>
        <w:gridCol w:w="1308"/>
        <w:gridCol w:w="1488"/>
      </w:tblGrid>
      <w:tr w14:paraId="69C221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557" w:type="dxa"/>
            <w:shd w:val="clear" w:color="auto" w:fill="auto"/>
          </w:tcPr>
          <w:p w14:paraId="77797ED0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衡量指标</w:t>
            </w:r>
          </w:p>
        </w:tc>
        <w:tc>
          <w:tcPr>
            <w:tcW w:w="3261" w:type="dxa"/>
            <w:shd w:val="clear" w:color="auto" w:fill="auto"/>
          </w:tcPr>
          <w:p w14:paraId="41FC4CE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指标说明</w:t>
            </w:r>
          </w:p>
        </w:tc>
        <w:tc>
          <w:tcPr>
            <w:tcW w:w="1308" w:type="dxa"/>
            <w:shd w:val="clear" w:color="auto" w:fill="auto"/>
          </w:tcPr>
          <w:p w14:paraId="6C95CDD9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考核频次</w:t>
            </w:r>
          </w:p>
        </w:tc>
        <w:tc>
          <w:tcPr>
            <w:tcW w:w="1488" w:type="dxa"/>
            <w:shd w:val="clear" w:color="auto" w:fill="auto"/>
          </w:tcPr>
          <w:p w14:paraId="56704DF4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目标值</w:t>
            </w:r>
          </w:p>
        </w:tc>
      </w:tr>
      <w:tr w14:paraId="40C013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1557" w:type="dxa"/>
            <w:shd w:val="clear" w:color="auto" w:fill="auto"/>
          </w:tcPr>
          <w:p w14:paraId="679FB77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服务报告提交及时率</w:t>
            </w:r>
          </w:p>
        </w:tc>
        <w:tc>
          <w:tcPr>
            <w:tcW w:w="3261" w:type="dxa"/>
            <w:shd w:val="clear" w:color="auto" w:fill="auto"/>
          </w:tcPr>
          <w:p w14:paraId="460C52E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按时提交的服务报告数量/应提交的服务报告总数)×100%</w:t>
            </w:r>
          </w:p>
        </w:tc>
        <w:tc>
          <w:tcPr>
            <w:tcW w:w="1308" w:type="dxa"/>
            <w:shd w:val="clear" w:color="auto" w:fill="auto"/>
          </w:tcPr>
          <w:p w14:paraId="59F06F25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88" w:type="dxa"/>
            <w:shd w:val="clear" w:color="auto" w:fill="auto"/>
          </w:tcPr>
          <w:p w14:paraId="23391F3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</w:tbl>
    <w:p w14:paraId="3B595A62">
      <w:pPr>
        <w:pStyle w:val="29"/>
        <w:rPr>
          <w:rFonts w:hint="default"/>
          <w:lang w:val="en-US" w:eastAsia="zh-CN"/>
        </w:rPr>
      </w:pPr>
    </w:p>
    <w:p w14:paraId="05BB70B5">
      <w:pPr>
        <w:pStyle w:val="31"/>
        <w:bidi w:val="0"/>
        <w:rPr>
          <w:rFonts w:hint="default"/>
          <w:lang w:val="en-US" w:eastAsia="zh-CN"/>
        </w:rPr>
      </w:pPr>
      <w:bookmarkStart w:id="13" w:name="_Toc3448"/>
      <w:r>
        <w:rPr>
          <w:rFonts w:hint="default"/>
          <w:lang w:val="en-US" w:eastAsia="zh-CN"/>
        </w:rPr>
        <w:t>要参与方</w:t>
      </w:r>
      <w:bookmarkEnd w:id="13"/>
    </w:p>
    <w:p w14:paraId="332680A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质量部、运维部。</w:t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50107D3F">
      <w:pPr>
        <w:pStyle w:val="30"/>
        <w:bidi w:val="0"/>
        <w:rPr>
          <w:rFonts w:hint="default"/>
          <w:lang w:val="en-US" w:eastAsia="zh-CN"/>
        </w:rPr>
      </w:pPr>
      <w:bookmarkStart w:id="14" w:name="_Toc24101"/>
      <w:r>
        <w:rPr>
          <w:rFonts w:hint="default"/>
          <w:lang w:val="en-US" w:eastAsia="zh-CN"/>
        </w:rPr>
        <w:t>事件管理</w:t>
      </w:r>
      <w:bookmarkEnd w:id="14"/>
    </w:p>
    <w:p w14:paraId="54E878B1">
      <w:pPr>
        <w:pStyle w:val="31"/>
        <w:bidi w:val="0"/>
        <w:rPr>
          <w:rFonts w:hint="default"/>
          <w:lang w:val="en-US" w:eastAsia="zh-CN"/>
        </w:rPr>
      </w:pPr>
      <w:bookmarkStart w:id="15" w:name="_Toc29102"/>
      <w:r>
        <w:rPr>
          <w:rFonts w:hint="default"/>
          <w:lang w:val="en-US" w:eastAsia="zh-CN"/>
        </w:rPr>
        <w:t>管理范围</w:t>
      </w:r>
      <w:bookmarkEnd w:id="15"/>
    </w:p>
    <w:p w14:paraId="3BF9494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对客户日常的服务请求、技术咨询、技术支持等各类服务需求进行管控，并依据SLA约定提供服务。</w:t>
      </w:r>
    </w:p>
    <w:p w14:paraId="299B215E">
      <w:pPr>
        <w:pStyle w:val="31"/>
        <w:bidi w:val="0"/>
        <w:rPr>
          <w:rFonts w:hint="default"/>
          <w:lang w:val="en-US" w:eastAsia="zh-CN"/>
        </w:rPr>
      </w:pPr>
      <w:bookmarkStart w:id="16" w:name="_Toc3476"/>
      <w:r>
        <w:rPr>
          <w:rFonts w:hint="default"/>
          <w:lang w:val="en-US" w:eastAsia="zh-CN"/>
        </w:rPr>
        <w:t>管理目标</w:t>
      </w:r>
      <w:bookmarkEnd w:id="16"/>
    </w:p>
    <w:p w14:paraId="1326B3E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确保事件能在最短时间内得到解决，满足公司与客户约定的SLA要求。</w:t>
      </w:r>
    </w:p>
    <w:p w14:paraId="134BDA0D">
      <w:pPr>
        <w:pStyle w:val="31"/>
        <w:bidi w:val="0"/>
        <w:rPr>
          <w:rFonts w:hint="default"/>
          <w:lang w:val="en-US" w:eastAsia="zh-CN"/>
        </w:rPr>
      </w:pPr>
      <w:bookmarkStart w:id="17" w:name="_Toc16594"/>
      <w:r>
        <w:rPr>
          <w:rFonts w:hint="default"/>
          <w:lang w:val="en-US" w:eastAsia="zh-CN"/>
        </w:rPr>
        <w:t>关键绩效指标（KPI）</w:t>
      </w:r>
      <w:bookmarkEnd w:id="17"/>
    </w:p>
    <w:p w14:paraId="1C549D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6"/>
        <w:tblW w:w="7614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3261"/>
        <w:gridCol w:w="1308"/>
        <w:gridCol w:w="1488"/>
      </w:tblGrid>
      <w:tr w14:paraId="13261F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557" w:type="dxa"/>
            <w:shd w:val="clear" w:color="auto" w:fill="auto"/>
          </w:tcPr>
          <w:p w14:paraId="31B2398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衡量指标</w:t>
            </w:r>
          </w:p>
        </w:tc>
        <w:tc>
          <w:tcPr>
            <w:tcW w:w="3261" w:type="dxa"/>
            <w:shd w:val="clear" w:color="auto" w:fill="auto"/>
          </w:tcPr>
          <w:p w14:paraId="4309B25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指标说明</w:t>
            </w:r>
          </w:p>
        </w:tc>
        <w:tc>
          <w:tcPr>
            <w:tcW w:w="1308" w:type="dxa"/>
            <w:shd w:val="clear" w:color="auto" w:fill="auto"/>
          </w:tcPr>
          <w:p w14:paraId="4D07AF4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考核频次</w:t>
            </w:r>
          </w:p>
        </w:tc>
        <w:tc>
          <w:tcPr>
            <w:tcW w:w="1488" w:type="dxa"/>
            <w:shd w:val="clear" w:color="auto" w:fill="auto"/>
          </w:tcPr>
          <w:p w14:paraId="05A2B388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目标值</w:t>
            </w:r>
          </w:p>
        </w:tc>
      </w:tr>
      <w:tr w14:paraId="0BA18E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1557" w:type="dxa"/>
            <w:shd w:val="clear" w:color="auto" w:fill="auto"/>
          </w:tcPr>
          <w:p w14:paraId="533F166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3261" w:type="dxa"/>
            <w:shd w:val="clear" w:color="auto" w:fill="auto"/>
          </w:tcPr>
          <w:p w14:paraId="4CCBE36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(规定时间内响应的事件数/事件总数)×100%</w:t>
            </w:r>
          </w:p>
        </w:tc>
        <w:tc>
          <w:tcPr>
            <w:tcW w:w="1308" w:type="dxa"/>
            <w:shd w:val="clear" w:color="auto" w:fill="auto"/>
          </w:tcPr>
          <w:p w14:paraId="3978CA6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88" w:type="dxa"/>
            <w:shd w:val="clear" w:color="auto" w:fill="auto"/>
          </w:tcPr>
          <w:p w14:paraId="64C7B2B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 w14:paraId="45D550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1557" w:type="dxa"/>
            <w:shd w:val="clear" w:color="auto" w:fill="auto"/>
          </w:tcPr>
          <w:p w14:paraId="7E1A99C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事件按时解决率</w:t>
            </w:r>
          </w:p>
        </w:tc>
        <w:tc>
          <w:tcPr>
            <w:tcW w:w="3261" w:type="dxa"/>
            <w:shd w:val="clear" w:color="auto" w:fill="auto"/>
          </w:tcPr>
          <w:p w14:paraId="67D3D27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规定时间内成功解决的事件数/事件总数×100%</w:t>
            </w:r>
          </w:p>
        </w:tc>
        <w:tc>
          <w:tcPr>
            <w:tcW w:w="1308" w:type="dxa"/>
            <w:shd w:val="clear" w:color="auto" w:fill="auto"/>
          </w:tcPr>
          <w:p w14:paraId="28F8737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88" w:type="dxa"/>
            <w:shd w:val="clear" w:color="auto" w:fill="auto"/>
          </w:tcPr>
          <w:p w14:paraId="1ECB0D8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</w:tr>
    </w:tbl>
    <w:p w14:paraId="04244C8B">
      <w:pPr>
        <w:pStyle w:val="29"/>
        <w:rPr>
          <w:rFonts w:hint="default"/>
          <w:lang w:val="en-US" w:eastAsia="zh-CN"/>
        </w:rPr>
      </w:pPr>
    </w:p>
    <w:p w14:paraId="4920DF69">
      <w:pPr>
        <w:pStyle w:val="31"/>
        <w:bidi w:val="0"/>
        <w:rPr>
          <w:rFonts w:hint="default"/>
          <w:lang w:val="en-US" w:eastAsia="zh-CN"/>
        </w:rPr>
      </w:pPr>
      <w:bookmarkStart w:id="18" w:name="_Toc13048"/>
      <w:r>
        <w:rPr>
          <w:rFonts w:hint="default"/>
          <w:lang w:val="en-US" w:eastAsia="zh-CN"/>
        </w:rPr>
        <w:t>主要参与方</w:t>
      </w:r>
      <w:bookmarkEnd w:id="18"/>
    </w:p>
    <w:p w14:paraId="20E092C9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。</w:t>
      </w:r>
    </w:p>
    <w:p w14:paraId="5572163A">
      <w:pPr>
        <w:pStyle w:val="30"/>
        <w:bidi w:val="0"/>
        <w:rPr>
          <w:rFonts w:hint="default"/>
          <w:lang w:val="en-US" w:eastAsia="zh-CN"/>
        </w:rPr>
      </w:pPr>
      <w:bookmarkStart w:id="19" w:name="_Toc5849"/>
      <w:r>
        <w:rPr>
          <w:rFonts w:hint="default"/>
          <w:lang w:val="en-US" w:eastAsia="zh-CN"/>
        </w:rPr>
        <w:t>问题管理</w:t>
      </w:r>
      <w:bookmarkEnd w:id="19"/>
    </w:p>
    <w:p w14:paraId="41A3F61A">
      <w:pPr>
        <w:pStyle w:val="31"/>
        <w:bidi w:val="0"/>
        <w:rPr>
          <w:rFonts w:hint="default"/>
          <w:lang w:val="en-US" w:eastAsia="zh-CN"/>
        </w:rPr>
      </w:pPr>
      <w:bookmarkStart w:id="20" w:name="_Toc25193"/>
      <w:r>
        <w:rPr>
          <w:rFonts w:hint="default"/>
          <w:lang w:val="en-US" w:eastAsia="zh-CN"/>
        </w:rPr>
        <w:t>管理范围</w:t>
      </w:r>
      <w:bookmarkEnd w:id="20"/>
    </w:p>
    <w:p w14:paraId="344C075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包括重复发生的事件、影响范围重大的事件以及产品缺陷等。</w:t>
      </w:r>
    </w:p>
    <w:p w14:paraId="460022B9">
      <w:pPr>
        <w:pStyle w:val="31"/>
        <w:bidi w:val="0"/>
        <w:rPr>
          <w:rFonts w:hint="default"/>
          <w:lang w:val="en-US" w:eastAsia="zh-CN"/>
        </w:rPr>
      </w:pPr>
      <w:bookmarkStart w:id="21" w:name="_Toc26508"/>
      <w:r>
        <w:rPr>
          <w:rFonts w:hint="default"/>
          <w:lang w:val="en-US" w:eastAsia="zh-CN"/>
        </w:rPr>
        <w:t>管理目标</w:t>
      </w:r>
      <w:bookmarkEnd w:id="21"/>
    </w:p>
    <w:p w14:paraId="49B1C40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从根本上识别和消除导致事件发生的潜在原因，防止故障复发，从而提升系统的可用性、连续性及容量保障能力。</w:t>
      </w:r>
    </w:p>
    <w:p w14:paraId="2C653F93">
      <w:pPr>
        <w:pStyle w:val="31"/>
        <w:bidi w:val="0"/>
        <w:rPr>
          <w:rFonts w:hint="default"/>
          <w:lang w:val="en-US" w:eastAsia="zh-CN"/>
        </w:rPr>
      </w:pPr>
      <w:bookmarkStart w:id="22" w:name="_Toc30812"/>
      <w:r>
        <w:rPr>
          <w:rFonts w:hint="default"/>
          <w:lang w:val="en-US" w:eastAsia="zh-CN"/>
        </w:rPr>
        <w:t>关键绩效指标（KPI）</w:t>
      </w:r>
      <w:bookmarkEnd w:id="22"/>
    </w:p>
    <w:tbl>
      <w:tblPr>
        <w:tblStyle w:val="26"/>
        <w:tblW w:w="7614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3261"/>
        <w:gridCol w:w="1308"/>
        <w:gridCol w:w="1488"/>
      </w:tblGrid>
      <w:tr w14:paraId="720459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557" w:type="dxa"/>
            <w:shd w:val="clear" w:color="auto" w:fill="auto"/>
          </w:tcPr>
          <w:p w14:paraId="28B2A3A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衡量指标</w:t>
            </w:r>
          </w:p>
        </w:tc>
        <w:tc>
          <w:tcPr>
            <w:tcW w:w="3261" w:type="dxa"/>
            <w:shd w:val="clear" w:color="auto" w:fill="auto"/>
          </w:tcPr>
          <w:p w14:paraId="3E0876C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指标说明</w:t>
            </w:r>
          </w:p>
        </w:tc>
        <w:tc>
          <w:tcPr>
            <w:tcW w:w="1308" w:type="dxa"/>
            <w:shd w:val="clear" w:color="auto" w:fill="auto"/>
          </w:tcPr>
          <w:p w14:paraId="763C957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考核频次</w:t>
            </w:r>
          </w:p>
        </w:tc>
        <w:tc>
          <w:tcPr>
            <w:tcW w:w="1488" w:type="dxa"/>
            <w:shd w:val="clear" w:color="auto" w:fill="auto"/>
          </w:tcPr>
          <w:p w14:paraId="5BA2859E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目标值</w:t>
            </w:r>
          </w:p>
        </w:tc>
      </w:tr>
      <w:tr w14:paraId="16347D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1557" w:type="dxa"/>
            <w:shd w:val="clear" w:color="auto" w:fill="auto"/>
          </w:tcPr>
          <w:p w14:paraId="4CB64C9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问题解决率</w:t>
            </w:r>
          </w:p>
        </w:tc>
        <w:tc>
          <w:tcPr>
            <w:tcW w:w="3261" w:type="dxa"/>
            <w:shd w:val="clear" w:color="auto" w:fill="auto"/>
          </w:tcPr>
          <w:p w14:paraId="1CF664F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实际解决的问题数/问题总数×100 %</w:t>
            </w:r>
          </w:p>
        </w:tc>
        <w:tc>
          <w:tcPr>
            <w:tcW w:w="1308" w:type="dxa"/>
            <w:shd w:val="clear" w:color="auto" w:fill="auto"/>
          </w:tcPr>
          <w:p w14:paraId="53DA29B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88" w:type="dxa"/>
            <w:shd w:val="clear" w:color="auto" w:fill="auto"/>
          </w:tcPr>
          <w:p w14:paraId="3009BCE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</w:tbl>
    <w:p w14:paraId="4A52FEE0">
      <w:pPr>
        <w:pStyle w:val="31"/>
        <w:bidi w:val="0"/>
        <w:rPr>
          <w:rFonts w:hint="default"/>
          <w:lang w:val="en-US" w:eastAsia="zh-CN"/>
        </w:rPr>
      </w:pPr>
      <w:bookmarkStart w:id="23" w:name="_Toc7729"/>
      <w:r>
        <w:rPr>
          <w:rFonts w:hint="default"/>
          <w:lang w:val="en-US" w:eastAsia="zh-CN"/>
        </w:rPr>
        <w:t>主要参与方</w:t>
      </w:r>
      <w:bookmarkEnd w:id="23"/>
    </w:p>
    <w:p w14:paraId="1AC88B17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。</w:t>
      </w:r>
    </w:p>
    <w:p w14:paraId="187BF0DB">
      <w:pPr>
        <w:pStyle w:val="30"/>
        <w:bidi w:val="0"/>
        <w:rPr>
          <w:rFonts w:hint="default"/>
          <w:lang w:val="en-US" w:eastAsia="zh-CN"/>
        </w:rPr>
      </w:pPr>
      <w:bookmarkStart w:id="24" w:name="_Toc14614"/>
      <w:r>
        <w:rPr>
          <w:rFonts w:hint="default"/>
          <w:lang w:val="en-US" w:eastAsia="zh-CN"/>
        </w:rPr>
        <w:t>变更管理</w:t>
      </w:r>
      <w:bookmarkEnd w:id="24"/>
    </w:p>
    <w:p w14:paraId="1C0029D3">
      <w:pPr>
        <w:pStyle w:val="31"/>
        <w:bidi w:val="0"/>
        <w:rPr>
          <w:rFonts w:hint="default"/>
          <w:lang w:val="en-US" w:eastAsia="zh-CN"/>
        </w:rPr>
      </w:pPr>
      <w:bookmarkStart w:id="25" w:name="_Toc17321"/>
      <w:r>
        <w:rPr>
          <w:rFonts w:hint="default"/>
          <w:lang w:val="en-US" w:eastAsia="zh-CN"/>
        </w:rPr>
        <w:t>管理范围</w:t>
      </w:r>
      <w:bookmarkEnd w:id="25"/>
    </w:p>
    <w:p w14:paraId="2FE7C65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管理客户业务系统生产环境的所有变更。</w:t>
      </w:r>
    </w:p>
    <w:p w14:paraId="3397C184">
      <w:pPr>
        <w:pStyle w:val="31"/>
        <w:bidi w:val="0"/>
        <w:rPr>
          <w:rFonts w:hint="default"/>
          <w:lang w:val="en-US" w:eastAsia="zh-CN"/>
        </w:rPr>
      </w:pPr>
      <w:bookmarkStart w:id="26" w:name="_Toc20702"/>
      <w:r>
        <w:rPr>
          <w:rFonts w:hint="default"/>
          <w:lang w:val="en-US" w:eastAsia="zh-CN"/>
        </w:rPr>
        <w:t>管理目标</w:t>
      </w:r>
      <w:bookmarkEnd w:id="26"/>
    </w:p>
    <w:p w14:paraId="16D7CF9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从业务和技术两个维度对变更进行评估与审批，最大程度降低变更对生产环境稳定性的影响。</w:t>
      </w:r>
    </w:p>
    <w:p w14:paraId="042A528C">
      <w:pPr>
        <w:pStyle w:val="31"/>
        <w:bidi w:val="0"/>
        <w:rPr>
          <w:rFonts w:hint="default"/>
          <w:lang w:val="en-US" w:eastAsia="zh-CN"/>
        </w:rPr>
      </w:pPr>
      <w:bookmarkStart w:id="27" w:name="_Toc9822"/>
      <w:r>
        <w:rPr>
          <w:rFonts w:hint="default"/>
          <w:lang w:val="en-US" w:eastAsia="zh-CN"/>
        </w:rPr>
        <w:t>关键绩效指标（KPI）</w:t>
      </w:r>
      <w:bookmarkEnd w:id="27"/>
    </w:p>
    <w:tbl>
      <w:tblPr>
        <w:tblStyle w:val="26"/>
        <w:tblW w:w="7614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3261"/>
        <w:gridCol w:w="1308"/>
        <w:gridCol w:w="1488"/>
      </w:tblGrid>
      <w:tr w14:paraId="76C05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557" w:type="dxa"/>
            <w:shd w:val="clear" w:color="auto" w:fill="auto"/>
          </w:tcPr>
          <w:p w14:paraId="0B4A41B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衡量指标</w:t>
            </w:r>
          </w:p>
        </w:tc>
        <w:tc>
          <w:tcPr>
            <w:tcW w:w="3261" w:type="dxa"/>
            <w:shd w:val="clear" w:color="auto" w:fill="auto"/>
          </w:tcPr>
          <w:p w14:paraId="4B0D6DE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指标说明</w:t>
            </w:r>
          </w:p>
        </w:tc>
        <w:tc>
          <w:tcPr>
            <w:tcW w:w="1308" w:type="dxa"/>
            <w:shd w:val="clear" w:color="auto" w:fill="auto"/>
          </w:tcPr>
          <w:p w14:paraId="762C5D7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考核频次</w:t>
            </w:r>
          </w:p>
        </w:tc>
        <w:tc>
          <w:tcPr>
            <w:tcW w:w="1488" w:type="dxa"/>
            <w:shd w:val="clear" w:color="auto" w:fill="auto"/>
          </w:tcPr>
          <w:p w14:paraId="7BA742AC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目标值</w:t>
            </w:r>
          </w:p>
        </w:tc>
      </w:tr>
      <w:tr w14:paraId="76A37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1557" w:type="dxa"/>
            <w:shd w:val="clear" w:color="auto" w:fill="auto"/>
          </w:tcPr>
          <w:p w14:paraId="496C295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变更成功率</w:t>
            </w:r>
          </w:p>
        </w:tc>
        <w:tc>
          <w:tcPr>
            <w:tcW w:w="3261" w:type="dxa"/>
            <w:shd w:val="clear" w:color="auto" w:fill="auto"/>
          </w:tcPr>
          <w:p w14:paraId="789F106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(变次成功次数/变更总次数)×100%</w:t>
            </w:r>
          </w:p>
        </w:tc>
        <w:tc>
          <w:tcPr>
            <w:tcW w:w="1308" w:type="dxa"/>
            <w:shd w:val="clear" w:color="auto" w:fill="auto"/>
          </w:tcPr>
          <w:p w14:paraId="00B336F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88" w:type="dxa"/>
            <w:shd w:val="clear" w:color="auto" w:fill="auto"/>
          </w:tcPr>
          <w:p w14:paraId="034BF86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</w:tbl>
    <w:p w14:paraId="27966509">
      <w:pPr>
        <w:pStyle w:val="31"/>
        <w:bidi w:val="0"/>
        <w:rPr>
          <w:rFonts w:hint="default"/>
          <w:lang w:val="en-US" w:eastAsia="zh-CN"/>
        </w:rPr>
      </w:pPr>
      <w:bookmarkStart w:id="28" w:name="_Toc25266"/>
      <w:r>
        <w:rPr>
          <w:rFonts w:hint="default"/>
          <w:lang w:val="en-US" w:eastAsia="zh-CN"/>
        </w:rPr>
        <w:t>主要参与方</w:t>
      </w:r>
      <w:bookmarkEnd w:id="28"/>
    </w:p>
    <w:p w14:paraId="70D31F2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。</w:t>
      </w:r>
    </w:p>
    <w:p w14:paraId="6A5D82F0">
      <w:pPr>
        <w:pStyle w:val="30"/>
        <w:bidi w:val="0"/>
        <w:rPr>
          <w:rFonts w:hint="default"/>
          <w:lang w:val="en-US" w:eastAsia="zh-CN"/>
        </w:rPr>
      </w:pPr>
      <w:bookmarkStart w:id="29" w:name="_Toc6832"/>
      <w:r>
        <w:rPr>
          <w:rFonts w:hint="default"/>
          <w:lang w:val="en-US" w:eastAsia="zh-CN"/>
        </w:rPr>
        <w:t>发布管理</w:t>
      </w:r>
      <w:bookmarkEnd w:id="29"/>
    </w:p>
    <w:p w14:paraId="4AD15E05">
      <w:pPr>
        <w:pStyle w:val="31"/>
        <w:bidi w:val="0"/>
        <w:rPr>
          <w:rFonts w:hint="default"/>
          <w:lang w:val="en-US" w:eastAsia="zh-CN"/>
        </w:rPr>
      </w:pPr>
      <w:bookmarkStart w:id="30" w:name="_Toc376"/>
      <w:r>
        <w:rPr>
          <w:rFonts w:hint="default"/>
          <w:lang w:val="en-US" w:eastAsia="zh-CN"/>
        </w:rPr>
        <w:t>管理范围</w:t>
      </w:r>
      <w:bookmarkEnd w:id="30"/>
    </w:p>
    <w:p w14:paraId="59C53B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管理软件导入生产环境的全过程。</w:t>
      </w:r>
    </w:p>
    <w:p w14:paraId="57C6B5C0">
      <w:pPr>
        <w:pStyle w:val="31"/>
        <w:bidi w:val="0"/>
        <w:rPr>
          <w:rFonts w:hint="default"/>
          <w:lang w:val="en-US" w:eastAsia="zh-CN"/>
        </w:rPr>
      </w:pPr>
      <w:bookmarkStart w:id="31" w:name="_Toc24520"/>
      <w:r>
        <w:rPr>
          <w:rFonts w:hint="default"/>
          <w:lang w:val="en-US" w:eastAsia="zh-CN"/>
        </w:rPr>
        <w:t>管理目标</w:t>
      </w:r>
      <w:bookmarkEnd w:id="31"/>
    </w:p>
    <w:p w14:paraId="6776FC9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确保只有经过正确测试与验证的软件才能被部署到实际运行环境，保障发布过程的安全可靠。</w:t>
      </w:r>
    </w:p>
    <w:p w14:paraId="22646CB9">
      <w:pPr>
        <w:pStyle w:val="31"/>
        <w:bidi w:val="0"/>
        <w:rPr>
          <w:rFonts w:hint="default"/>
          <w:lang w:val="en-US" w:eastAsia="zh-CN"/>
        </w:rPr>
      </w:pPr>
      <w:bookmarkStart w:id="32" w:name="_Toc4114"/>
      <w:r>
        <w:rPr>
          <w:rFonts w:hint="default"/>
          <w:lang w:val="en-US" w:eastAsia="zh-CN"/>
        </w:rPr>
        <w:t>关键绩效指标（KPI）</w:t>
      </w:r>
      <w:bookmarkEnd w:id="32"/>
    </w:p>
    <w:tbl>
      <w:tblPr>
        <w:tblStyle w:val="26"/>
        <w:tblW w:w="7614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3261"/>
        <w:gridCol w:w="1308"/>
        <w:gridCol w:w="1488"/>
      </w:tblGrid>
      <w:tr w14:paraId="09A441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557" w:type="dxa"/>
            <w:shd w:val="clear" w:color="auto" w:fill="auto"/>
          </w:tcPr>
          <w:p w14:paraId="570735B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衡量指标</w:t>
            </w:r>
          </w:p>
        </w:tc>
        <w:tc>
          <w:tcPr>
            <w:tcW w:w="3261" w:type="dxa"/>
            <w:shd w:val="clear" w:color="auto" w:fill="auto"/>
          </w:tcPr>
          <w:p w14:paraId="6D82116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指标说明</w:t>
            </w:r>
          </w:p>
        </w:tc>
        <w:tc>
          <w:tcPr>
            <w:tcW w:w="1308" w:type="dxa"/>
            <w:shd w:val="clear" w:color="auto" w:fill="auto"/>
          </w:tcPr>
          <w:p w14:paraId="4A8E33AB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考核频次</w:t>
            </w:r>
          </w:p>
        </w:tc>
        <w:tc>
          <w:tcPr>
            <w:tcW w:w="1488" w:type="dxa"/>
            <w:shd w:val="clear" w:color="auto" w:fill="auto"/>
          </w:tcPr>
          <w:p w14:paraId="0A0EC632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目标值</w:t>
            </w:r>
          </w:p>
        </w:tc>
      </w:tr>
      <w:tr w14:paraId="2BD544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1557" w:type="dxa"/>
            <w:shd w:val="clear" w:color="auto" w:fill="auto"/>
          </w:tcPr>
          <w:p w14:paraId="4877FEE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发布成功率</w:t>
            </w:r>
          </w:p>
        </w:tc>
        <w:tc>
          <w:tcPr>
            <w:tcW w:w="3261" w:type="dxa"/>
            <w:shd w:val="clear" w:color="auto" w:fill="auto"/>
          </w:tcPr>
          <w:p w14:paraId="1A213B2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(发布成功次数/发布总次数)×100%</w:t>
            </w:r>
          </w:p>
        </w:tc>
        <w:tc>
          <w:tcPr>
            <w:tcW w:w="1308" w:type="dxa"/>
            <w:shd w:val="clear" w:color="auto" w:fill="auto"/>
          </w:tcPr>
          <w:p w14:paraId="7559071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88" w:type="dxa"/>
            <w:shd w:val="clear" w:color="auto" w:fill="auto"/>
          </w:tcPr>
          <w:p w14:paraId="67193602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</w:tbl>
    <w:p w14:paraId="082BD89F">
      <w:pPr>
        <w:pStyle w:val="29"/>
        <w:rPr>
          <w:rFonts w:hint="default"/>
          <w:lang w:val="en-US" w:eastAsia="zh-CN"/>
        </w:rPr>
      </w:pPr>
    </w:p>
    <w:p w14:paraId="4E6D31D2">
      <w:pPr>
        <w:pStyle w:val="31"/>
        <w:bidi w:val="0"/>
        <w:rPr>
          <w:rFonts w:hint="default"/>
          <w:lang w:val="en-US" w:eastAsia="zh-CN"/>
        </w:rPr>
      </w:pPr>
      <w:bookmarkStart w:id="33" w:name="_Toc21493"/>
      <w:r>
        <w:rPr>
          <w:rFonts w:hint="default"/>
          <w:lang w:val="en-US" w:eastAsia="zh-CN"/>
        </w:rPr>
        <w:t>主要参与方</w:t>
      </w:r>
      <w:bookmarkEnd w:id="33"/>
    </w:p>
    <w:p w14:paraId="75CC9AD7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。</w:t>
      </w:r>
    </w:p>
    <w:p w14:paraId="53BBB0DF">
      <w:pPr>
        <w:pStyle w:val="30"/>
        <w:bidi w:val="0"/>
        <w:rPr>
          <w:rFonts w:hint="default"/>
          <w:lang w:val="en-US" w:eastAsia="zh-CN"/>
        </w:rPr>
      </w:pPr>
      <w:bookmarkStart w:id="34" w:name="_Toc9917"/>
      <w:r>
        <w:rPr>
          <w:rFonts w:hint="default"/>
          <w:lang w:val="en-US" w:eastAsia="zh-CN"/>
        </w:rPr>
        <w:t>配置管理</w:t>
      </w:r>
      <w:bookmarkEnd w:id="34"/>
    </w:p>
    <w:p w14:paraId="5450CD67">
      <w:pPr>
        <w:pStyle w:val="31"/>
        <w:bidi w:val="0"/>
        <w:rPr>
          <w:rFonts w:hint="default"/>
          <w:lang w:val="en-US" w:eastAsia="zh-CN"/>
        </w:rPr>
      </w:pPr>
      <w:bookmarkStart w:id="35" w:name="_Toc15615"/>
      <w:r>
        <w:rPr>
          <w:rFonts w:hint="default"/>
          <w:lang w:val="en-US" w:eastAsia="zh-CN"/>
        </w:rPr>
        <w:t>管理范围</w:t>
      </w:r>
      <w:bookmarkEnd w:id="35"/>
    </w:p>
    <w:p w14:paraId="38F4527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涵盖客户业务系统生产环境中的应用软件配置项。</w:t>
      </w:r>
    </w:p>
    <w:p w14:paraId="65A97B54">
      <w:pPr>
        <w:pStyle w:val="31"/>
        <w:bidi w:val="0"/>
        <w:rPr>
          <w:rFonts w:hint="default"/>
          <w:lang w:val="en-US" w:eastAsia="zh-CN"/>
        </w:rPr>
      </w:pPr>
      <w:bookmarkStart w:id="36" w:name="_Toc20634"/>
      <w:r>
        <w:rPr>
          <w:rFonts w:hint="default"/>
          <w:lang w:val="en-US" w:eastAsia="zh-CN"/>
        </w:rPr>
        <w:t>管理目标</w:t>
      </w:r>
      <w:bookmarkEnd w:id="36"/>
    </w:p>
    <w:p w14:paraId="70682ED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确保所有配置项及其相互关系得到及时、准确的记录与维护，从而真实反映生产环境的实时状态。</w:t>
      </w:r>
    </w:p>
    <w:p w14:paraId="2886BBD7">
      <w:pPr>
        <w:pStyle w:val="31"/>
        <w:bidi w:val="0"/>
        <w:rPr>
          <w:rFonts w:hint="default"/>
          <w:lang w:val="en-US" w:eastAsia="zh-CN"/>
        </w:rPr>
      </w:pPr>
      <w:bookmarkStart w:id="37" w:name="_Toc19481"/>
      <w:r>
        <w:rPr>
          <w:rFonts w:hint="default"/>
          <w:lang w:val="en-US" w:eastAsia="zh-CN"/>
        </w:rPr>
        <w:t>关键绩效指标（KPI）</w:t>
      </w:r>
      <w:bookmarkEnd w:id="37"/>
    </w:p>
    <w:tbl>
      <w:tblPr>
        <w:tblStyle w:val="26"/>
        <w:tblW w:w="7614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3261"/>
        <w:gridCol w:w="1308"/>
        <w:gridCol w:w="1488"/>
      </w:tblGrid>
      <w:tr w14:paraId="7E38E9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557" w:type="dxa"/>
            <w:shd w:val="clear" w:color="auto" w:fill="auto"/>
          </w:tcPr>
          <w:p w14:paraId="158061B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衡量指标</w:t>
            </w:r>
          </w:p>
        </w:tc>
        <w:tc>
          <w:tcPr>
            <w:tcW w:w="3261" w:type="dxa"/>
            <w:shd w:val="clear" w:color="auto" w:fill="auto"/>
          </w:tcPr>
          <w:p w14:paraId="191352E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指标说明</w:t>
            </w:r>
          </w:p>
        </w:tc>
        <w:tc>
          <w:tcPr>
            <w:tcW w:w="1308" w:type="dxa"/>
            <w:shd w:val="clear" w:color="auto" w:fill="auto"/>
          </w:tcPr>
          <w:p w14:paraId="709064F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考核频次</w:t>
            </w:r>
          </w:p>
        </w:tc>
        <w:tc>
          <w:tcPr>
            <w:tcW w:w="1488" w:type="dxa"/>
            <w:shd w:val="clear" w:color="auto" w:fill="auto"/>
          </w:tcPr>
          <w:p w14:paraId="29FD24F2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目标值</w:t>
            </w:r>
          </w:p>
        </w:tc>
      </w:tr>
      <w:tr w14:paraId="4EBC82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1557" w:type="dxa"/>
            <w:shd w:val="clear" w:color="auto" w:fill="auto"/>
          </w:tcPr>
          <w:p w14:paraId="5744788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配置准确率</w:t>
            </w:r>
          </w:p>
        </w:tc>
        <w:tc>
          <w:tcPr>
            <w:tcW w:w="3261" w:type="dxa"/>
            <w:shd w:val="clear" w:color="auto" w:fill="auto"/>
          </w:tcPr>
          <w:p w14:paraId="52F2BFB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(准确配置次数/配置总次数)×100%</w:t>
            </w:r>
          </w:p>
        </w:tc>
        <w:tc>
          <w:tcPr>
            <w:tcW w:w="1308" w:type="dxa"/>
            <w:shd w:val="clear" w:color="auto" w:fill="auto"/>
          </w:tcPr>
          <w:p w14:paraId="01BAFCDE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88" w:type="dxa"/>
            <w:shd w:val="clear" w:color="auto" w:fill="auto"/>
          </w:tcPr>
          <w:p w14:paraId="531B0382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</w:tr>
    </w:tbl>
    <w:p w14:paraId="73E99610">
      <w:pPr>
        <w:pStyle w:val="31"/>
        <w:bidi w:val="0"/>
        <w:rPr>
          <w:rFonts w:hint="default"/>
          <w:lang w:val="en-US" w:eastAsia="zh-CN"/>
        </w:rPr>
      </w:pPr>
      <w:bookmarkStart w:id="38" w:name="_Toc19031"/>
      <w:r>
        <w:rPr>
          <w:rFonts w:hint="default"/>
          <w:lang w:val="en-US" w:eastAsia="zh-CN"/>
        </w:rPr>
        <w:t>主要参与方</w:t>
      </w:r>
      <w:bookmarkEnd w:id="38"/>
    </w:p>
    <w:p w14:paraId="3B1861B4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。</w:t>
      </w:r>
    </w:p>
    <w:p w14:paraId="210BF09D">
      <w:pPr>
        <w:pStyle w:val="30"/>
        <w:bidi w:val="0"/>
        <w:rPr>
          <w:rFonts w:hint="default"/>
          <w:lang w:val="en-US" w:eastAsia="zh-CN"/>
        </w:rPr>
      </w:pPr>
      <w:bookmarkStart w:id="39" w:name="_Toc601"/>
      <w:r>
        <w:rPr>
          <w:rFonts w:hint="default"/>
          <w:lang w:val="en-US" w:eastAsia="zh-CN"/>
        </w:rPr>
        <w:t>可用性和连续性管理</w:t>
      </w:r>
      <w:bookmarkEnd w:id="39"/>
    </w:p>
    <w:p w14:paraId="1C7E71FA">
      <w:pPr>
        <w:pStyle w:val="31"/>
        <w:bidi w:val="0"/>
        <w:rPr>
          <w:rFonts w:hint="default"/>
          <w:lang w:val="en-US" w:eastAsia="zh-CN"/>
        </w:rPr>
      </w:pPr>
      <w:bookmarkStart w:id="40" w:name="_Toc29523"/>
      <w:r>
        <w:rPr>
          <w:rFonts w:hint="default"/>
          <w:lang w:val="en-US" w:eastAsia="zh-CN"/>
        </w:rPr>
        <w:t>管理范围</w:t>
      </w:r>
      <w:bookmarkEnd w:id="40"/>
    </w:p>
    <w:p w14:paraId="1EEE274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针对客户业务因系统故障、不可抗力等因素可能发生的中断风险进行管理。</w:t>
      </w:r>
    </w:p>
    <w:p w14:paraId="3859A01B">
      <w:pPr>
        <w:pStyle w:val="31"/>
        <w:bidi w:val="0"/>
        <w:rPr>
          <w:rFonts w:hint="default"/>
          <w:lang w:val="en-US" w:eastAsia="zh-CN"/>
        </w:rPr>
      </w:pPr>
      <w:bookmarkStart w:id="41" w:name="_Toc468"/>
      <w:r>
        <w:rPr>
          <w:rFonts w:hint="default"/>
          <w:lang w:val="en-US" w:eastAsia="zh-CN"/>
        </w:rPr>
        <w:t>管理目标</w:t>
      </w:r>
      <w:bookmarkEnd w:id="41"/>
    </w:p>
    <w:p w14:paraId="331A7E7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建立符合成本效益且能实现业务快速恢复的管理措施，在业务发生中断或遭遇重大灾害时，最大程度降低客户损失。</w:t>
      </w:r>
    </w:p>
    <w:p w14:paraId="4B057E5C">
      <w:pPr>
        <w:pStyle w:val="31"/>
        <w:bidi w:val="0"/>
        <w:rPr>
          <w:rFonts w:hint="default"/>
          <w:lang w:val="en-US" w:eastAsia="zh-CN"/>
        </w:rPr>
      </w:pPr>
      <w:bookmarkStart w:id="42" w:name="_Toc27827"/>
      <w:r>
        <w:rPr>
          <w:rFonts w:hint="default"/>
          <w:lang w:val="en-US" w:eastAsia="zh-CN"/>
        </w:rPr>
        <w:t>关键绩效指标（KPI）</w:t>
      </w:r>
      <w:bookmarkEnd w:id="42"/>
    </w:p>
    <w:p w14:paraId="3B5716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BC4C56D">
      <w:pPr>
        <w:pStyle w:val="29"/>
        <w:rPr>
          <w:rFonts w:hint="default"/>
          <w:lang w:val="en-US" w:eastAsia="zh-CN"/>
        </w:rPr>
      </w:pPr>
    </w:p>
    <w:tbl>
      <w:tblPr>
        <w:tblStyle w:val="26"/>
        <w:tblW w:w="6801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2649"/>
        <w:gridCol w:w="1316"/>
        <w:gridCol w:w="1279"/>
      </w:tblGrid>
      <w:tr w14:paraId="1E1332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</w:trPr>
        <w:tc>
          <w:tcPr>
            <w:tcW w:w="1557" w:type="dxa"/>
          </w:tcPr>
          <w:p w14:paraId="577A7047">
            <w:pPr>
              <w:pStyle w:val="27"/>
              <w:spacing w:before="20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衡量指标</w:t>
            </w:r>
          </w:p>
        </w:tc>
        <w:tc>
          <w:tcPr>
            <w:tcW w:w="2649" w:type="dxa"/>
          </w:tcPr>
          <w:p w14:paraId="174E577E">
            <w:pPr>
              <w:pStyle w:val="27"/>
              <w:spacing w:before="20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指标说明</w:t>
            </w:r>
          </w:p>
        </w:tc>
        <w:tc>
          <w:tcPr>
            <w:tcW w:w="1316" w:type="dxa"/>
          </w:tcPr>
          <w:p w14:paraId="3FC1F41E">
            <w:pPr>
              <w:pStyle w:val="27"/>
              <w:spacing w:before="20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279" w:type="dxa"/>
            <w:shd w:val="clear" w:color="auto" w:fill="auto"/>
          </w:tcPr>
          <w:p w14:paraId="3812B885">
            <w:pPr>
              <w:pStyle w:val="27"/>
              <w:spacing w:before="230" w:line="238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pacing w:val="-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584487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</w:trPr>
        <w:tc>
          <w:tcPr>
            <w:tcW w:w="1557" w:type="dxa"/>
            <w:shd w:val="clear" w:color="auto" w:fill="auto"/>
          </w:tcPr>
          <w:p w14:paraId="6E80FEC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关键服务可用率</w:t>
            </w:r>
          </w:p>
        </w:tc>
        <w:tc>
          <w:tcPr>
            <w:tcW w:w="2649" w:type="dxa"/>
            <w:shd w:val="clear" w:color="auto" w:fill="auto"/>
          </w:tcPr>
          <w:p w14:paraId="77F826C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(服务约定运行时间-服务不可用时间)/服务约定运行时间×100%</w:t>
            </w:r>
          </w:p>
        </w:tc>
        <w:tc>
          <w:tcPr>
            <w:tcW w:w="1316" w:type="dxa"/>
            <w:shd w:val="clear" w:color="auto" w:fill="auto"/>
          </w:tcPr>
          <w:p w14:paraId="695F014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279" w:type="dxa"/>
            <w:shd w:val="clear" w:color="auto" w:fill="auto"/>
          </w:tcPr>
          <w:p w14:paraId="0EAAE98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</w:tr>
      <w:tr w14:paraId="3F54E3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</w:trPr>
        <w:tc>
          <w:tcPr>
            <w:tcW w:w="1557" w:type="dxa"/>
            <w:shd w:val="clear" w:color="auto" w:fill="auto"/>
          </w:tcPr>
          <w:p w14:paraId="0C2BDA1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服务中断事件数量</w:t>
            </w:r>
          </w:p>
        </w:tc>
        <w:tc>
          <w:tcPr>
            <w:tcW w:w="2649" w:type="dxa"/>
            <w:shd w:val="clear" w:color="auto" w:fill="auto"/>
          </w:tcPr>
          <w:p w14:paraId="2F8AB17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统计期内导致服务不可用的事件发生次数</w:t>
            </w:r>
          </w:p>
        </w:tc>
        <w:tc>
          <w:tcPr>
            <w:tcW w:w="1316" w:type="dxa"/>
            <w:shd w:val="clear" w:color="auto" w:fill="auto"/>
          </w:tcPr>
          <w:p w14:paraId="23C28AB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279" w:type="dxa"/>
            <w:shd w:val="clear" w:color="auto" w:fill="auto"/>
          </w:tcPr>
          <w:p w14:paraId="5E9870D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</w:tr>
    </w:tbl>
    <w:p w14:paraId="6D948C4B">
      <w:pPr>
        <w:pStyle w:val="31"/>
        <w:bidi w:val="0"/>
        <w:rPr>
          <w:rFonts w:hint="default"/>
          <w:lang w:val="en-US" w:eastAsia="zh-CN"/>
        </w:rPr>
      </w:pPr>
      <w:bookmarkStart w:id="43" w:name="_Toc30941"/>
      <w:r>
        <w:rPr>
          <w:rFonts w:hint="default"/>
          <w:lang w:val="en-US" w:eastAsia="zh-CN"/>
        </w:rPr>
        <w:t>主要参与方</w:t>
      </w:r>
      <w:bookmarkEnd w:id="43"/>
    </w:p>
    <w:p w14:paraId="73F853C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。</w:t>
      </w:r>
    </w:p>
    <w:p w14:paraId="14BE1F0B">
      <w:pPr>
        <w:pStyle w:val="30"/>
        <w:bidi w:val="0"/>
        <w:rPr>
          <w:rFonts w:hint="default"/>
          <w:lang w:val="en-US" w:eastAsia="zh-CN"/>
        </w:rPr>
      </w:pPr>
      <w:bookmarkStart w:id="44" w:name="_Toc32318"/>
      <w:r>
        <w:rPr>
          <w:rFonts w:hint="default"/>
          <w:lang w:val="en-US" w:eastAsia="zh-CN"/>
        </w:rPr>
        <w:t>容量管理</w:t>
      </w:r>
      <w:bookmarkEnd w:id="44"/>
    </w:p>
    <w:p w14:paraId="3B1A0EF2">
      <w:pPr>
        <w:pStyle w:val="31"/>
        <w:bidi w:val="0"/>
        <w:rPr>
          <w:rFonts w:hint="default"/>
          <w:lang w:val="en-US" w:eastAsia="zh-CN"/>
        </w:rPr>
      </w:pPr>
      <w:bookmarkStart w:id="45" w:name="_Toc32754"/>
      <w:r>
        <w:rPr>
          <w:rFonts w:hint="default"/>
          <w:lang w:val="en-US" w:eastAsia="zh-CN"/>
        </w:rPr>
        <w:t>管理范围</w:t>
      </w:r>
      <w:bookmarkEnd w:id="45"/>
    </w:p>
    <w:p w14:paraId="01E0C06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管理客户业务系统的容量规划与性能。</w:t>
      </w:r>
    </w:p>
    <w:p w14:paraId="2E6F64E0">
      <w:pPr>
        <w:pStyle w:val="31"/>
        <w:bidi w:val="0"/>
        <w:rPr>
          <w:rFonts w:hint="default"/>
          <w:lang w:val="en-US" w:eastAsia="zh-CN"/>
        </w:rPr>
      </w:pPr>
      <w:bookmarkStart w:id="46" w:name="_Toc22267"/>
      <w:r>
        <w:rPr>
          <w:rFonts w:hint="default"/>
          <w:lang w:val="en-US" w:eastAsia="zh-CN"/>
        </w:rPr>
        <w:t>管理目标</w:t>
      </w:r>
      <w:bookmarkEnd w:id="46"/>
    </w:p>
    <w:p w14:paraId="2E03767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识别并消除容量风险，确保所提供的服务能满足SLA约定，并保障客户业务系统性能满足业务发展需求。</w:t>
      </w:r>
    </w:p>
    <w:p w14:paraId="061332C7">
      <w:pPr>
        <w:pStyle w:val="31"/>
        <w:bidi w:val="0"/>
        <w:rPr>
          <w:rFonts w:hint="default"/>
          <w:lang w:val="en-US" w:eastAsia="zh-CN"/>
        </w:rPr>
      </w:pPr>
      <w:bookmarkStart w:id="47" w:name="_Toc18527"/>
      <w:r>
        <w:rPr>
          <w:rFonts w:hint="default"/>
          <w:lang w:val="en-US" w:eastAsia="zh-CN"/>
        </w:rPr>
        <w:t>关键绩效指标（KPI）</w:t>
      </w:r>
      <w:bookmarkEnd w:id="47"/>
    </w:p>
    <w:tbl>
      <w:tblPr>
        <w:tblStyle w:val="26"/>
        <w:tblW w:w="6801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2733"/>
        <w:gridCol w:w="1232"/>
        <w:gridCol w:w="1279"/>
      </w:tblGrid>
      <w:tr w14:paraId="2E995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</w:trPr>
        <w:tc>
          <w:tcPr>
            <w:tcW w:w="1557" w:type="dxa"/>
          </w:tcPr>
          <w:p w14:paraId="1717423A">
            <w:pPr>
              <w:pStyle w:val="27"/>
              <w:spacing w:before="20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衡量指标</w:t>
            </w:r>
          </w:p>
        </w:tc>
        <w:tc>
          <w:tcPr>
            <w:tcW w:w="2733" w:type="dxa"/>
          </w:tcPr>
          <w:p w14:paraId="064B92F9">
            <w:pPr>
              <w:pStyle w:val="27"/>
              <w:spacing w:before="20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指标说明</w:t>
            </w:r>
          </w:p>
        </w:tc>
        <w:tc>
          <w:tcPr>
            <w:tcW w:w="1232" w:type="dxa"/>
          </w:tcPr>
          <w:p w14:paraId="4F396442">
            <w:pPr>
              <w:pStyle w:val="27"/>
              <w:spacing w:before="20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279" w:type="dxa"/>
            <w:shd w:val="clear" w:color="auto" w:fill="auto"/>
          </w:tcPr>
          <w:p w14:paraId="7230FC67">
            <w:pPr>
              <w:pStyle w:val="27"/>
              <w:spacing w:before="230" w:line="238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pacing w:val="-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47AC39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</w:trPr>
        <w:tc>
          <w:tcPr>
            <w:tcW w:w="1557" w:type="dxa"/>
            <w:shd w:val="clear" w:color="auto" w:fill="auto"/>
          </w:tcPr>
          <w:p w14:paraId="042D8E4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2733" w:type="dxa"/>
            <w:shd w:val="clear" w:color="auto" w:fill="auto"/>
          </w:tcPr>
          <w:p w14:paraId="436DD23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因容量不足导致的服务事件数量</w:t>
            </w:r>
          </w:p>
        </w:tc>
        <w:tc>
          <w:tcPr>
            <w:tcW w:w="1232" w:type="dxa"/>
            <w:shd w:val="clear" w:color="auto" w:fill="auto"/>
          </w:tcPr>
          <w:p w14:paraId="39C558F5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279" w:type="dxa"/>
            <w:shd w:val="clear" w:color="auto" w:fill="auto"/>
          </w:tcPr>
          <w:p w14:paraId="17248C9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</w:tr>
    </w:tbl>
    <w:p w14:paraId="0D35D45F">
      <w:pPr>
        <w:pStyle w:val="31"/>
        <w:bidi w:val="0"/>
        <w:rPr>
          <w:rFonts w:hint="default"/>
          <w:lang w:val="en-US" w:eastAsia="zh-CN"/>
        </w:rPr>
      </w:pPr>
      <w:bookmarkStart w:id="48" w:name="_Toc12264"/>
      <w:r>
        <w:rPr>
          <w:rFonts w:hint="default"/>
          <w:lang w:val="en-US" w:eastAsia="zh-CN"/>
        </w:rPr>
        <w:t>主要参与方</w:t>
      </w:r>
      <w:bookmarkEnd w:id="48"/>
    </w:p>
    <w:p w14:paraId="6EE30E2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运维部、质量部。</w:t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7C44EB22">
      <w:pPr>
        <w:pStyle w:val="30"/>
        <w:bidi w:val="0"/>
        <w:rPr>
          <w:rFonts w:hint="default"/>
          <w:lang w:val="en-US" w:eastAsia="zh-CN"/>
        </w:rPr>
      </w:pPr>
      <w:bookmarkStart w:id="49" w:name="_Toc10396"/>
      <w:r>
        <w:rPr>
          <w:rFonts w:hint="default"/>
          <w:lang w:val="en-US" w:eastAsia="zh-CN"/>
        </w:rPr>
        <w:t>信息安全管理</w:t>
      </w:r>
      <w:bookmarkEnd w:id="49"/>
    </w:p>
    <w:p w14:paraId="50D7E491">
      <w:pPr>
        <w:pStyle w:val="31"/>
        <w:bidi w:val="0"/>
        <w:rPr>
          <w:rFonts w:hint="default"/>
          <w:lang w:val="en-US" w:eastAsia="zh-CN"/>
        </w:rPr>
      </w:pPr>
      <w:bookmarkStart w:id="50" w:name="_Toc18757"/>
      <w:r>
        <w:rPr>
          <w:rFonts w:hint="default"/>
          <w:lang w:val="en-US" w:eastAsia="zh-CN"/>
        </w:rPr>
        <w:t>管理范围</w:t>
      </w:r>
      <w:bookmarkEnd w:id="50"/>
    </w:p>
    <w:p w14:paraId="1399A17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针对运维服务全过程相关的信息安全活动。</w:t>
      </w:r>
    </w:p>
    <w:p w14:paraId="38B8E0CE">
      <w:pPr>
        <w:pStyle w:val="31"/>
        <w:bidi w:val="0"/>
        <w:rPr>
          <w:rFonts w:hint="default"/>
          <w:lang w:val="en-US" w:eastAsia="zh-CN"/>
        </w:rPr>
      </w:pPr>
      <w:bookmarkStart w:id="51" w:name="_Toc15597"/>
      <w:r>
        <w:rPr>
          <w:rFonts w:hint="default"/>
          <w:lang w:val="en-US" w:eastAsia="zh-CN"/>
        </w:rPr>
        <w:t>管理目标</w:t>
      </w:r>
      <w:bookmarkEnd w:id="51"/>
    </w:p>
    <w:p w14:paraId="4F93465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通过规范的管理，识别、评估并合理应对运维服务中的各类信息安全风险，降低其可能造成的影响。</w:t>
      </w:r>
    </w:p>
    <w:p w14:paraId="1B2A8B7A">
      <w:pPr>
        <w:pStyle w:val="31"/>
        <w:bidi w:val="0"/>
        <w:rPr>
          <w:rFonts w:hint="default"/>
          <w:lang w:val="en-US" w:eastAsia="zh-CN"/>
        </w:rPr>
      </w:pPr>
      <w:bookmarkStart w:id="52" w:name="_Toc16191"/>
      <w:r>
        <w:rPr>
          <w:rFonts w:hint="default"/>
          <w:lang w:val="en-US" w:eastAsia="zh-CN"/>
        </w:rPr>
        <w:t>关键绩效指标（KPI）</w:t>
      </w:r>
      <w:bookmarkEnd w:id="52"/>
    </w:p>
    <w:tbl>
      <w:tblPr>
        <w:tblStyle w:val="26"/>
        <w:tblW w:w="6801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7"/>
        <w:gridCol w:w="2733"/>
        <w:gridCol w:w="1232"/>
        <w:gridCol w:w="1279"/>
      </w:tblGrid>
      <w:tr w14:paraId="24F72D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</w:trPr>
        <w:tc>
          <w:tcPr>
            <w:tcW w:w="1557" w:type="dxa"/>
          </w:tcPr>
          <w:p w14:paraId="41F93A20">
            <w:pPr>
              <w:pStyle w:val="27"/>
              <w:spacing w:before="205" w:line="220" w:lineRule="auto"/>
              <w:ind w:left="328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衡量指标</w:t>
            </w:r>
          </w:p>
        </w:tc>
        <w:tc>
          <w:tcPr>
            <w:tcW w:w="2733" w:type="dxa"/>
          </w:tcPr>
          <w:p w14:paraId="347017D1">
            <w:pPr>
              <w:pStyle w:val="27"/>
              <w:spacing w:before="205" w:line="220" w:lineRule="auto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指标说明</w:t>
            </w:r>
          </w:p>
        </w:tc>
        <w:tc>
          <w:tcPr>
            <w:tcW w:w="1232" w:type="dxa"/>
          </w:tcPr>
          <w:p w14:paraId="3B7BFD2E">
            <w:pPr>
              <w:pStyle w:val="27"/>
              <w:spacing w:before="205" w:line="220" w:lineRule="auto"/>
              <w:ind w:left="321" w:leftChars="0"/>
              <w:rPr>
                <w:rFonts w:hint="default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279" w:type="dxa"/>
            <w:shd w:val="clear" w:color="auto" w:fill="auto"/>
          </w:tcPr>
          <w:p w14:paraId="247F12B0">
            <w:pPr>
              <w:pStyle w:val="27"/>
              <w:spacing w:before="230" w:line="238" w:lineRule="auto"/>
              <w:ind w:left="436" w:leftChars="0"/>
              <w:rPr>
                <w:rFonts w:hint="eastAsia" w:eastAsia="宋体"/>
                <w:spacing w:val="-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7BEA2A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</w:trPr>
        <w:tc>
          <w:tcPr>
            <w:tcW w:w="1557" w:type="dxa"/>
            <w:shd w:val="clear" w:color="auto" w:fill="auto"/>
          </w:tcPr>
          <w:p w14:paraId="78B2AB5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信息泄露次数</w:t>
            </w:r>
          </w:p>
        </w:tc>
        <w:tc>
          <w:tcPr>
            <w:tcW w:w="2733" w:type="dxa"/>
            <w:shd w:val="clear" w:color="auto" w:fill="auto"/>
          </w:tcPr>
          <w:p w14:paraId="5A6909F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客户信息泄露的事件次数</w:t>
            </w:r>
          </w:p>
        </w:tc>
        <w:tc>
          <w:tcPr>
            <w:tcW w:w="1232" w:type="dxa"/>
            <w:shd w:val="clear" w:color="auto" w:fill="auto"/>
          </w:tcPr>
          <w:p w14:paraId="41B13D7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1279" w:type="dxa"/>
            <w:shd w:val="clear" w:color="auto" w:fill="auto"/>
          </w:tcPr>
          <w:p w14:paraId="6AE1A66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≤2次</w:t>
            </w:r>
          </w:p>
        </w:tc>
      </w:tr>
    </w:tbl>
    <w:p w14:paraId="413B6454">
      <w:pPr>
        <w:pStyle w:val="31"/>
        <w:bidi w:val="0"/>
        <w:rPr>
          <w:rFonts w:hint="default"/>
          <w:lang w:val="en-US" w:eastAsia="zh-CN"/>
        </w:rPr>
      </w:pPr>
      <w:bookmarkStart w:id="53" w:name="_Toc17881"/>
      <w:r>
        <w:rPr>
          <w:rFonts w:hint="default"/>
          <w:lang w:val="en-US" w:eastAsia="zh-CN"/>
        </w:rPr>
        <w:t>主要参与方</w:t>
      </w:r>
      <w:bookmarkEnd w:id="53"/>
    </w:p>
    <w:p w14:paraId="46FF24DB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及其他相关部门。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9871E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3643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43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2201</Words>
  <Characters>2607</Characters>
  <Lines>0</Lines>
  <Paragraphs>0</Paragraphs>
  <TotalTime>0</TotalTime>
  <ScaleCrop>false</ScaleCrop>
  <LinksUpToDate>false</LinksUpToDate>
  <CharactersWithSpaces>2822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2026-05-25T03:44:51Z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