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51CE3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22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65D003FA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696"/>
      <w:r>
        <w:rPr>
          <w:rFonts w:hint="eastAsia"/>
          <w:lang w:val="en-US" w:eastAsia="zh-CN"/>
        </w:rPr>
        <w:t>运维服务技术研发管理制度</w:t>
      </w:r>
      <w:bookmarkEnd w:id="1"/>
    </w:p>
    <w:p w14:paraId="11C748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文件编号：ZGS-07-01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6CEB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64608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 w14:paraId="5CE91E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5399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5A8FC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F70AD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C291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51C69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批准人:刘霞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7D908C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E55541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A51D3E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298E06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6F2F5F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B6A40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357F5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74170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49BD0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0A71A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74BEB5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3E1FD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5CD982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刘霞</w:t>
            </w:r>
          </w:p>
        </w:tc>
      </w:tr>
      <w:tr w14:paraId="2C6F91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8752A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85B41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C544E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622020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D0FA6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31289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D46E3A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93A730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18765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D0061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0F4142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D7DCC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6AEF0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BA220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39C663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EB3EA6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87170FD">
          <w:pPr>
            <w:pStyle w:val="16"/>
            <w:tabs>
              <w:tab w:val="right" w:leader="dot" w:pos="8306"/>
            </w:tabs>
          </w:pPr>
          <w:bookmarkStart w:id="32" w:name="_GoBack"/>
          <w:bookmarkEnd w:id="32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_Toc11222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4957B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运维服务技术研发管理制度</w:t>
          </w:r>
          <w:r>
            <w:tab/>
          </w:r>
          <w:r>
            <w:fldChar w:fldCharType="begin"/>
          </w:r>
          <w:r>
            <w:instrText xml:space="preserve"> PAGEREF _Toc15696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0F875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_Toc14351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5ABB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_Toc5821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095D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_Toc14499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B9CF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_Toc22804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7A73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_Toc25993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E9ADC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_Toc13886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74A07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_Toc25489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21863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数据部</w:t>
          </w:r>
          <w:r>
            <w:tab/>
          </w:r>
          <w:r>
            <w:fldChar w:fldCharType="begin"/>
          </w:r>
          <w:r>
            <w:instrText xml:space="preserve"> PAGEREF _Toc14385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00955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行政部</w:t>
          </w:r>
          <w:r>
            <w:tab/>
          </w:r>
          <w:r>
            <w:fldChar w:fldCharType="begin"/>
          </w:r>
          <w:r>
            <w:instrText xml:space="preserve"> PAGEREF _Toc13236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8DB0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_Toc26487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8D55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_Toc25086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C0B4D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运维工具</w:t>
          </w:r>
          <w:r>
            <w:tab/>
          </w:r>
          <w:r>
            <w:fldChar w:fldCharType="begin"/>
          </w:r>
          <w:r>
            <w:instrText xml:space="preserve"> PAGEREF _Toc22248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63E7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产品基线</w:t>
          </w:r>
          <w:r>
            <w:tab/>
          </w:r>
          <w:r>
            <w:fldChar w:fldCharType="begin"/>
          </w:r>
          <w:r>
            <w:instrText xml:space="preserve"> PAGEREF _Toc6368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88C2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代码走查</w:t>
          </w:r>
          <w:r>
            <w:tab/>
          </w:r>
          <w:r>
            <w:fldChar w:fldCharType="begin"/>
          </w:r>
          <w:r>
            <w:instrText xml:space="preserve"> PAGEREF _Toc17987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73912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_Toc9188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FA7D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立项阶段</w:t>
          </w:r>
          <w:r>
            <w:tab/>
          </w:r>
          <w:r>
            <w:fldChar w:fldCharType="begin"/>
          </w:r>
          <w:r>
            <w:instrText xml:space="preserve"> PAGEREF _Toc23184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89748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设计阶段</w:t>
          </w:r>
          <w:r>
            <w:tab/>
          </w:r>
          <w:r>
            <w:fldChar w:fldCharType="begin"/>
          </w:r>
          <w:r>
            <w:instrText xml:space="preserve"> PAGEREF _Toc1300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7D78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实现阶段</w:t>
          </w:r>
          <w:r>
            <w:tab/>
          </w:r>
          <w:r>
            <w:fldChar w:fldCharType="begin"/>
          </w:r>
          <w:r>
            <w:instrText xml:space="preserve"> PAGEREF _Toc8802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FB09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验证阶段</w:t>
          </w:r>
          <w:r>
            <w:tab/>
          </w:r>
          <w:r>
            <w:fldChar w:fldCharType="begin"/>
          </w:r>
          <w:r>
            <w:instrText xml:space="preserve"> PAGEREF _Toc6808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D8340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发布阶段</w:t>
          </w:r>
          <w:r>
            <w:tab/>
          </w:r>
          <w:r>
            <w:fldChar w:fldCharType="begin"/>
          </w:r>
          <w:r>
            <w:instrText xml:space="preserve"> PAGEREF _Toc3456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C6CF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研发成果应用</w:t>
          </w:r>
          <w:r>
            <w:tab/>
          </w:r>
          <w:r>
            <w:fldChar w:fldCharType="begin"/>
          </w:r>
          <w:r>
            <w:instrText xml:space="preserve"> PAGEREF _Toc32349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DB464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4.6.1. </w:t>
          </w:r>
          <w:r>
            <w:rPr>
              <w:rFonts w:hint="eastAsia"/>
              <w:lang w:val="en-US" w:eastAsia="zh-CN"/>
            </w:rPr>
            <w:t>成果移交</w:t>
          </w:r>
          <w:r>
            <w:tab/>
          </w:r>
          <w:r>
            <w:fldChar w:fldCharType="begin"/>
          </w:r>
          <w:r>
            <w:instrText xml:space="preserve"> PAGEREF _Toc31354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01BAC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4.6.2. </w:t>
          </w:r>
          <w:r>
            <w:rPr>
              <w:rFonts w:hint="eastAsia"/>
              <w:lang w:val="en-US" w:eastAsia="zh-CN"/>
            </w:rPr>
            <w:t>部署与试运行</w:t>
          </w:r>
          <w:r>
            <w:tab/>
          </w:r>
          <w:r>
            <w:fldChar w:fldCharType="begin"/>
          </w:r>
          <w:r>
            <w:instrText xml:space="preserve"> PAGEREF _Toc22456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30085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4.6.3. </w:t>
          </w:r>
          <w:r>
            <w:rPr>
              <w:rFonts w:hint="eastAsia"/>
              <w:lang w:val="en-US" w:eastAsia="zh-CN"/>
            </w:rPr>
            <w:t>应用推广</w:t>
          </w:r>
          <w:r>
            <w:tab/>
          </w:r>
          <w:r>
            <w:fldChar w:fldCharType="begin"/>
          </w:r>
          <w:r>
            <w:instrText xml:space="preserve"> PAGEREF _Toc21039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2FE00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4.6.4. </w:t>
          </w:r>
          <w:r>
            <w:rPr>
              <w:rFonts w:hint="eastAsia"/>
              <w:lang w:val="en-US" w:eastAsia="zh-CN"/>
            </w:rPr>
            <w:t>效果评估</w:t>
          </w:r>
          <w:r>
            <w:tab/>
          </w:r>
          <w:r>
            <w:fldChar w:fldCharType="begin"/>
          </w:r>
          <w:r>
            <w:instrText xml:space="preserve"> PAGEREF _Toc22374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C4671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4.6.5. </w:t>
          </w:r>
          <w:r>
            <w:rPr>
              <w:rFonts w:hint="eastAsia"/>
              <w:lang w:val="en-US" w:eastAsia="zh-CN"/>
            </w:rPr>
            <w:t>持续优化与退出</w:t>
          </w:r>
          <w:r>
            <w:tab/>
          </w:r>
          <w:r>
            <w:fldChar w:fldCharType="begin"/>
          </w:r>
          <w:r>
            <w:instrText xml:space="preserve"> PAGEREF _Toc10331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DCDA9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_Toc6238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7537C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_Toc20890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63EBF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_Toc13385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9512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_Toc8839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22130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7EF09A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D88B436">
      <w:pPr>
        <w:pStyle w:val="28"/>
        <w:bidi w:val="0"/>
        <w:rPr>
          <w:rFonts w:hint="eastAsia"/>
          <w:lang w:val="en-US" w:eastAsia="zh-CN"/>
        </w:rPr>
      </w:pPr>
      <w:bookmarkStart w:id="2" w:name="_Toc14351"/>
      <w:r>
        <w:rPr>
          <w:rFonts w:hint="eastAsia"/>
          <w:lang w:val="en-US" w:eastAsia="zh-CN"/>
        </w:rPr>
        <w:t>总则</w:t>
      </w:r>
      <w:bookmarkEnd w:id="2"/>
    </w:p>
    <w:p w14:paraId="25DB0BC1">
      <w:pPr>
        <w:pStyle w:val="30"/>
        <w:bidi w:val="0"/>
        <w:rPr>
          <w:rFonts w:hint="eastAsia"/>
          <w:lang w:val="en-US" w:eastAsia="zh-CN"/>
        </w:rPr>
      </w:pPr>
      <w:bookmarkStart w:id="3" w:name="_Toc5821"/>
      <w:r>
        <w:rPr>
          <w:rFonts w:hint="eastAsia"/>
          <w:lang w:val="en-US" w:eastAsia="zh-CN"/>
        </w:rPr>
        <w:t>目的</w:t>
      </w:r>
      <w:bookmarkEnd w:id="3"/>
    </w:p>
    <w:p w14:paraId="1A3CA61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为规范公司内部运维工具的研发与管理，明确项目立项、设计、实现、验证及发布各阶段的要求，确保研发过程有序、可控、高效，其成果能有效提升运维服务能力与效率，特制定本制度。</w:t>
      </w:r>
    </w:p>
    <w:p w14:paraId="2BBE1BF7">
      <w:pPr>
        <w:pStyle w:val="30"/>
        <w:bidi w:val="0"/>
        <w:rPr>
          <w:rFonts w:hint="eastAsia"/>
          <w:lang w:val="en-US" w:eastAsia="zh-CN"/>
        </w:rPr>
      </w:pPr>
      <w:bookmarkStart w:id="4" w:name="_Toc14499"/>
      <w:r>
        <w:rPr>
          <w:rFonts w:hint="eastAsia"/>
          <w:lang w:val="en-US" w:eastAsia="zh-CN"/>
        </w:rPr>
        <w:t>适用范围</w:t>
      </w:r>
      <w:bookmarkEnd w:id="4"/>
    </w:p>
    <w:p w14:paraId="268D2AE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本制度适用于公司内部为提升运维自动化、智能化水平而发起的所有自研工具项目。涉及部门包括运维部、研发部、质量部、人力部。</w:t>
      </w:r>
    </w:p>
    <w:p w14:paraId="1FD13273">
      <w:pPr>
        <w:pStyle w:val="30"/>
        <w:bidi w:val="0"/>
        <w:rPr>
          <w:rFonts w:hint="eastAsia"/>
          <w:lang w:val="en-US" w:eastAsia="zh-CN"/>
        </w:rPr>
      </w:pPr>
      <w:bookmarkStart w:id="5" w:name="_Toc22804"/>
      <w:r>
        <w:rPr>
          <w:rFonts w:hint="eastAsia"/>
          <w:lang w:val="en-US" w:eastAsia="zh-CN"/>
        </w:rPr>
        <w:t>原则</w:t>
      </w:r>
      <w:bookmarkEnd w:id="5"/>
    </w:p>
    <w:p w14:paraId="2E6E5E70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价值驱动原则：工具研发必须紧密围绕运维业务的实际需求与痛点，确保其交付物能产生实际业务价值。</w:t>
      </w:r>
    </w:p>
    <w:p w14:paraId="5C99ADA0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质量内建原则：在研发全过程中嵌入质量保证活动，确保交付工具的功能、性能及稳定性。</w:t>
      </w:r>
    </w:p>
    <w:p w14:paraId="57C0AC5F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协同共建原则：运维部作为需求方和最终用户，应全程参与；研发部作为实现方，应确保技术方案的先进与可靠；质量部负责全过程质量监督。</w:t>
      </w:r>
    </w:p>
    <w:p w14:paraId="1D2B211B">
      <w:pPr>
        <w:pStyle w:val="30"/>
        <w:bidi w:val="0"/>
        <w:rPr>
          <w:rFonts w:hint="eastAsia"/>
          <w:lang w:val="en-US" w:eastAsia="zh-CN"/>
        </w:rPr>
      </w:pPr>
      <w:bookmarkStart w:id="6" w:name="_Toc25993"/>
      <w:r>
        <w:rPr>
          <w:rFonts w:hint="eastAsia"/>
          <w:lang w:val="en-US" w:eastAsia="zh-CN"/>
        </w:rPr>
        <w:t>岗位职责</w:t>
      </w:r>
      <w:bookmarkEnd w:id="6"/>
    </w:p>
    <w:p w14:paraId="3D667BA8">
      <w:pPr>
        <w:pStyle w:val="31"/>
        <w:bidi w:val="0"/>
        <w:rPr>
          <w:rFonts w:hint="eastAsia"/>
          <w:lang w:val="en-US" w:eastAsia="zh-CN"/>
        </w:rPr>
      </w:pPr>
      <w:bookmarkStart w:id="7" w:name="_Toc13886"/>
      <w:r>
        <w:rPr>
          <w:rFonts w:hint="eastAsia"/>
          <w:lang w:val="en-US" w:eastAsia="zh-CN"/>
        </w:rPr>
        <w:t>运维部</w:t>
      </w:r>
      <w:bookmarkEnd w:id="7"/>
    </w:p>
    <w:p w14:paraId="3273D3A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作为需求提出方和最终用户，负责提出工具需求、参与各阶段评审、组织用户验收测试（UAT）及试运行。</w:t>
      </w:r>
    </w:p>
    <w:p w14:paraId="6EF85DB7">
      <w:pPr>
        <w:pStyle w:val="31"/>
        <w:bidi w:val="0"/>
        <w:rPr>
          <w:rFonts w:hint="eastAsia"/>
          <w:lang w:val="en-US" w:eastAsia="zh-CN"/>
        </w:rPr>
      </w:pPr>
      <w:bookmarkStart w:id="8" w:name="_Toc25489"/>
      <w:r>
        <w:rPr>
          <w:rFonts w:hint="eastAsia"/>
          <w:lang w:val="en-US" w:eastAsia="zh-CN"/>
        </w:rPr>
        <w:t>研发部</w:t>
      </w:r>
      <w:bookmarkEnd w:id="8"/>
    </w:p>
    <w:p w14:paraId="762CF10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作为研发责任主体，负责项目计划制定、技术方案设计、编码实现、集成测试及技术文档编制。</w:t>
      </w:r>
    </w:p>
    <w:p w14:paraId="4468F206">
      <w:pPr>
        <w:pStyle w:val="31"/>
        <w:bidi w:val="0"/>
        <w:rPr>
          <w:rFonts w:hint="eastAsia"/>
          <w:lang w:val="en-US" w:eastAsia="zh-CN"/>
        </w:rPr>
      </w:pPr>
      <w:bookmarkStart w:id="9" w:name="_Toc14385"/>
      <w:r>
        <w:rPr>
          <w:rFonts w:hint="eastAsia"/>
          <w:lang w:val="en-US" w:eastAsia="zh-CN"/>
        </w:rPr>
        <w:t>质量部</w:t>
      </w:r>
      <w:bookmarkEnd w:id="9"/>
    </w:p>
    <w:p w14:paraId="6E52991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负责监督研发过程合规性，制定测试方案并组织系统测试，确保交付质量。</w:t>
      </w:r>
    </w:p>
    <w:p w14:paraId="4661AAF3">
      <w:pPr>
        <w:pStyle w:val="31"/>
        <w:bidi w:val="0"/>
        <w:rPr>
          <w:rFonts w:hint="eastAsia"/>
          <w:lang w:val="en-US" w:eastAsia="zh-CN"/>
        </w:rPr>
      </w:pPr>
      <w:bookmarkStart w:id="10" w:name="_Toc13236"/>
      <w:r>
        <w:rPr>
          <w:rFonts w:hint="eastAsia"/>
          <w:lang w:val="en-US" w:eastAsia="zh-CN"/>
        </w:rPr>
        <w:t>人力部</w:t>
      </w:r>
      <w:bookmarkEnd w:id="10"/>
    </w:p>
    <w:p w14:paraId="5B8EB4F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负责组织相关制度与规范的培训。</w:t>
      </w:r>
    </w:p>
    <w:p w14:paraId="0B195B23">
      <w:pPr>
        <w:pStyle w:val="28"/>
        <w:bidi w:val="0"/>
        <w:rPr>
          <w:rFonts w:hint="eastAsia"/>
          <w:lang w:val="en-US" w:eastAsia="zh-CN"/>
        </w:rPr>
      </w:pPr>
      <w:bookmarkStart w:id="11" w:name="_Toc26487"/>
      <w:r>
        <w:rPr>
          <w:rFonts w:hint="eastAsia"/>
          <w:lang w:val="en-US" w:eastAsia="zh-CN"/>
        </w:rPr>
        <w:t>引用依据</w:t>
      </w:r>
      <w:bookmarkEnd w:id="11"/>
    </w:p>
    <w:p w14:paraId="25F27ED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本制度的制定遵循并引用以下国家标准与行业规范：</w:t>
      </w:r>
    </w:p>
    <w:p w14:paraId="2A2A4AD5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59C899D1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42D90022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72B511CA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7919D8BE">
      <w:pPr>
        <w:pStyle w:val="28"/>
        <w:bidi w:val="0"/>
        <w:rPr>
          <w:rFonts w:hint="eastAsia"/>
          <w:lang w:val="en-US" w:eastAsia="zh-CN"/>
        </w:rPr>
      </w:pPr>
      <w:bookmarkStart w:id="12" w:name="_Toc25086"/>
      <w:r>
        <w:rPr>
          <w:rFonts w:hint="eastAsia"/>
          <w:lang w:val="en-US" w:eastAsia="zh-CN"/>
        </w:rPr>
        <w:t>定义与术语</w:t>
      </w:r>
      <w:bookmarkEnd w:id="12"/>
    </w:p>
    <w:p w14:paraId="5BEFBF50">
      <w:pPr>
        <w:pStyle w:val="30"/>
        <w:bidi w:val="0"/>
        <w:rPr>
          <w:rFonts w:hint="eastAsia"/>
          <w:lang w:val="en-US" w:eastAsia="zh-CN"/>
        </w:rPr>
      </w:pPr>
      <w:bookmarkStart w:id="13" w:name="_Toc22248"/>
      <w:r>
        <w:rPr>
          <w:rFonts w:hint="eastAsia"/>
          <w:lang w:val="en-US" w:eastAsia="zh-CN"/>
        </w:rPr>
        <w:t>运维工具</w:t>
      </w:r>
      <w:bookmarkEnd w:id="13"/>
    </w:p>
    <w:p w14:paraId="22814E2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指由公司自主研发，用于支持信息系统运行维护活动的软件程序，旨在实现运维工作的自动化、规范化与可视化。</w:t>
      </w:r>
    </w:p>
    <w:p w14:paraId="485C7276">
      <w:pPr>
        <w:pStyle w:val="30"/>
        <w:bidi w:val="0"/>
        <w:rPr>
          <w:rFonts w:hint="eastAsia"/>
          <w:lang w:val="en-US" w:eastAsia="zh-CN"/>
        </w:rPr>
      </w:pPr>
      <w:bookmarkStart w:id="14" w:name="_Toc6368"/>
      <w:r>
        <w:rPr>
          <w:rFonts w:hint="eastAsia"/>
          <w:lang w:val="en-US" w:eastAsia="zh-CN"/>
        </w:rPr>
        <w:t>产品基线</w:t>
      </w:r>
      <w:bookmarkEnd w:id="14"/>
    </w:p>
    <w:p w14:paraId="273EA17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指在发布阶段确定的、包含所有最终版本代码、文档及相关配置的集合，是后续部署、升级和维护的基准。</w:t>
      </w:r>
    </w:p>
    <w:p w14:paraId="471CAA90">
      <w:pPr>
        <w:pStyle w:val="30"/>
        <w:bidi w:val="0"/>
        <w:rPr>
          <w:rFonts w:hint="eastAsia"/>
          <w:lang w:val="en-US" w:eastAsia="zh-CN"/>
        </w:rPr>
      </w:pPr>
      <w:bookmarkStart w:id="15" w:name="_Toc17987"/>
      <w:r>
        <w:rPr>
          <w:rFonts w:hint="eastAsia"/>
          <w:lang w:val="en-US" w:eastAsia="zh-CN"/>
        </w:rPr>
        <w:t>代码走查</w:t>
      </w:r>
      <w:bookmarkEnd w:id="15"/>
    </w:p>
    <w:p w14:paraId="6226831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一种由开发人员相互审查源代码，以发现缺陷、保证代码质量的静态测试方法。</w:t>
      </w:r>
    </w:p>
    <w:p w14:paraId="0DF60F0F">
      <w:pPr>
        <w:pStyle w:val="28"/>
        <w:bidi w:val="0"/>
        <w:rPr>
          <w:rFonts w:hint="eastAsia"/>
          <w:lang w:val="en-US" w:eastAsia="zh-CN"/>
        </w:rPr>
      </w:pPr>
      <w:bookmarkStart w:id="16" w:name="_Toc9188"/>
      <w:r>
        <w:rPr>
          <w:rFonts w:hint="eastAsia"/>
          <w:lang w:val="en-US" w:eastAsia="zh-CN"/>
        </w:rPr>
        <w:t>管理内容与要求</w:t>
      </w:r>
      <w:bookmarkEnd w:id="16"/>
    </w:p>
    <w:p w14:paraId="2956CD98">
      <w:pPr>
        <w:pStyle w:val="30"/>
        <w:bidi w:val="0"/>
        <w:rPr>
          <w:rFonts w:hint="eastAsia"/>
          <w:lang w:val="en-US" w:eastAsia="zh-CN"/>
        </w:rPr>
      </w:pPr>
      <w:bookmarkStart w:id="17" w:name="_Toc23184"/>
      <w:r>
        <w:rPr>
          <w:rFonts w:hint="eastAsia"/>
          <w:lang w:val="en-US" w:eastAsia="zh-CN"/>
        </w:rPr>
        <w:t>立项阶段</w:t>
      </w:r>
      <w:bookmarkEnd w:id="17"/>
    </w:p>
    <w:p w14:paraId="4C780536">
      <w:pPr>
        <w:pStyle w:val="29"/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输入：《运维工具需求调研报告》、《项目开发计划》、《项目立项书》。</w:t>
      </w:r>
    </w:p>
    <w:p w14:paraId="6968F3D1">
      <w:pPr>
        <w:pStyle w:val="29"/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过程要求：运维部需明确业务需求及预期效益；研发部需评估技术可行性并制定计划；最终需通过由研发部组织的立项评审。</w:t>
      </w:r>
    </w:p>
    <w:p w14:paraId="07FBCAFD">
      <w:pPr>
        <w:pStyle w:val="29"/>
        <w:numPr>
          <w:ilvl w:val="0"/>
          <w:numId w:val="4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输出与标准：形成经会签的《评审过程记录表》及相关立项文档。检查标准为《评审过程记录表》的完整会签与所有关键问题的闭环。</w:t>
      </w:r>
    </w:p>
    <w:p w14:paraId="5BBA7D3C">
      <w:pPr>
        <w:pStyle w:val="30"/>
        <w:bidi w:val="0"/>
        <w:rPr>
          <w:rFonts w:hint="eastAsia"/>
          <w:lang w:val="en-US" w:eastAsia="zh-CN"/>
        </w:rPr>
      </w:pPr>
      <w:bookmarkStart w:id="18" w:name="_Toc1300"/>
      <w:r>
        <w:rPr>
          <w:rFonts w:hint="eastAsia"/>
          <w:lang w:val="en-US" w:eastAsia="zh-CN"/>
        </w:rPr>
        <w:t>设计阶段</w:t>
      </w:r>
      <w:bookmarkEnd w:id="18"/>
    </w:p>
    <w:p w14:paraId="61C30BF8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输入：《运维工具设计说明书》、《运维工具测试方案》。</w:t>
      </w:r>
    </w:p>
    <w:p w14:paraId="3E1B2D56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过程要求：研发部需完成总体设计与详细设计；质量部需制定完整的测试策略；对关键技术必须完成验证。</w:t>
      </w:r>
    </w:p>
    <w:p w14:paraId="6986F20C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输出与标准：形成经会签的《评审过程记录表》及相关设计文档。检查标准为技术方案经评审通过，且技术风险已确认可控。</w:t>
      </w:r>
    </w:p>
    <w:p w14:paraId="2E18D44B">
      <w:pPr>
        <w:pStyle w:val="30"/>
        <w:bidi w:val="0"/>
        <w:rPr>
          <w:rFonts w:hint="eastAsia"/>
          <w:lang w:val="en-US" w:eastAsia="zh-CN"/>
        </w:rPr>
      </w:pPr>
      <w:bookmarkStart w:id="19" w:name="_Toc8802"/>
      <w:r>
        <w:rPr>
          <w:rFonts w:hint="eastAsia"/>
          <w:lang w:val="en-US" w:eastAsia="zh-CN"/>
        </w:rPr>
        <w:t>实现阶段</w:t>
      </w:r>
      <w:bookmarkEnd w:id="19"/>
    </w:p>
    <w:p w14:paraId="6FCE4778">
      <w:pPr>
        <w:pStyle w:val="29"/>
        <w:numPr>
          <w:ilvl w:val="0"/>
          <w:numId w:val="6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输入：源代码文件、单元测试记录、集成测试记录。</w:t>
      </w:r>
    </w:p>
    <w:p w14:paraId="5B0BA4AC">
      <w:pPr>
        <w:pStyle w:val="29"/>
        <w:numPr>
          <w:ilvl w:val="0"/>
          <w:numId w:val="6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过程要求：开发人员须遵循编码规范并完成单元测试；所有模块须成功集成；必须组织代码走查或评审。</w:t>
      </w:r>
    </w:p>
    <w:p w14:paraId="018EDA61">
      <w:pPr>
        <w:pStyle w:val="29"/>
        <w:numPr>
          <w:ilvl w:val="0"/>
          <w:numId w:val="6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输出与标准：形成可运行的集成版本及经会签的《评审过程记录表》。检查标准为代码评审通过且集成版本无阻塞性问题。</w:t>
      </w:r>
    </w:p>
    <w:p w14:paraId="5ABE0D7C">
      <w:pPr>
        <w:pStyle w:val="30"/>
        <w:bidi w:val="0"/>
        <w:rPr>
          <w:rFonts w:hint="eastAsia"/>
          <w:lang w:val="en-US" w:eastAsia="zh-CN"/>
        </w:rPr>
      </w:pPr>
      <w:bookmarkStart w:id="20" w:name="_Toc6808"/>
      <w:r>
        <w:rPr>
          <w:rFonts w:hint="eastAsia"/>
          <w:lang w:val="en-US" w:eastAsia="zh-CN"/>
        </w:rPr>
        <w:t>验证阶段</w:t>
      </w:r>
      <w:bookmarkEnd w:id="20"/>
    </w:p>
    <w:p w14:paraId="7290B351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输入：《运维工具测试报告》、《工具使用说明书》、《工具部署手册》。</w:t>
      </w:r>
    </w:p>
    <w:p w14:paraId="3ED9703F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过程要求：质量部需完成系统测试并跟踪缺陷修复；运维部需完成试运行验证；相关用户文档必须编制完毕。</w:t>
      </w:r>
    </w:p>
    <w:p w14:paraId="574DF5EC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输出与标准：形成经会签的《评审过程记录表》及相关报告文档。检查标准为所有关键缺陷已关闭，且试运行结果满足发布要求。</w:t>
      </w:r>
    </w:p>
    <w:p w14:paraId="0057916B">
      <w:pPr>
        <w:pStyle w:val="30"/>
        <w:bidi w:val="0"/>
        <w:rPr>
          <w:rFonts w:hint="eastAsia"/>
          <w:lang w:val="en-US" w:eastAsia="zh-CN"/>
        </w:rPr>
      </w:pPr>
      <w:bookmarkStart w:id="21" w:name="_Toc3456"/>
      <w:r>
        <w:rPr>
          <w:rFonts w:hint="eastAsia"/>
          <w:lang w:val="en-US" w:eastAsia="zh-CN"/>
        </w:rPr>
        <w:t>发布阶段</w:t>
      </w:r>
      <w:bookmarkEnd w:id="21"/>
    </w:p>
    <w:p w14:paraId="506D1EF7">
      <w:pPr>
        <w:pStyle w:val="29"/>
        <w:numPr>
          <w:ilvl w:val="0"/>
          <w:numId w:val="8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输入：《项目总结报告》、全部最终交付物。</w:t>
      </w:r>
    </w:p>
    <w:p w14:paraId="4841CB47">
      <w:pPr>
        <w:pStyle w:val="29"/>
        <w:numPr>
          <w:ilvl w:val="0"/>
          <w:numId w:val="8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过程要求：所有交付物须提交至公司配置库形成产品基线；研发部需组织结项评审并进行项目复盘。</w:t>
      </w:r>
    </w:p>
    <w:p w14:paraId="02BEBAAD">
      <w:pPr>
        <w:pStyle w:val="29"/>
        <w:numPr>
          <w:ilvl w:val="0"/>
          <w:numId w:val="8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输出与标准：形成经会签的《评审过程记录表》及结项文档。检查标准为配置库中交付物齐套，且项目总结已完成。</w:t>
      </w:r>
    </w:p>
    <w:p w14:paraId="6C600B66">
      <w:pPr>
        <w:pStyle w:val="30"/>
        <w:bidi w:val="0"/>
        <w:rPr>
          <w:rFonts w:hint="eastAsia"/>
          <w:lang w:val="en-US" w:eastAsia="zh-CN"/>
        </w:rPr>
      </w:pPr>
      <w:bookmarkStart w:id="22" w:name="_Toc32349"/>
      <w:r>
        <w:rPr>
          <w:rFonts w:hint="eastAsia"/>
          <w:lang w:val="en-US" w:eastAsia="zh-CN"/>
        </w:rPr>
        <w:t>研发成果应用</w:t>
      </w:r>
      <w:bookmarkEnd w:id="22"/>
    </w:p>
    <w:p w14:paraId="5455DED0">
      <w:pPr>
        <w:pStyle w:val="31"/>
        <w:bidi w:val="0"/>
        <w:rPr>
          <w:rFonts w:hint="eastAsia"/>
          <w:lang w:val="en-US" w:eastAsia="zh-CN"/>
        </w:rPr>
      </w:pPr>
      <w:bookmarkStart w:id="23" w:name="_Toc31354"/>
      <w:r>
        <w:rPr>
          <w:rFonts w:hint="eastAsia"/>
          <w:lang w:val="en-US" w:eastAsia="zh-CN"/>
        </w:rPr>
        <w:t>成果移交</w:t>
      </w:r>
      <w:bookmarkEnd w:id="23"/>
    </w:p>
    <w:p w14:paraId="286F4F1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成果通过发布阶段评审后，研发部应在5个工作日内向运维部完成正式移交。移交内容须包括产品基线代码（含版本标签）、部署手册、使用说明书、测试报告及已知问题清单与规避方案。移交时双方须共同填写《研发成果移交清单》，经负责人签字确认后存档至公司配置库，作为成果进入应用阶段的起始节点。</w:t>
      </w:r>
    </w:p>
    <w:p w14:paraId="3A4F5451">
      <w:pPr>
        <w:pStyle w:val="31"/>
        <w:bidi w:val="0"/>
        <w:rPr>
          <w:rFonts w:hint="eastAsia"/>
          <w:lang w:val="en-US" w:eastAsia="zh-CN"/>
        </w:rPr>
      </w:pPr>
      <w:bookmarkStart w:id="24" w:name="_Toc22456"/>
      <w:r>
        <w:rPr>
          <w:rFonts w:hint="eastAsia"/>
          <w:lang w:val="en-US" w:eastAsia="zh-CN"/>
        </w:rPr>
        <w:t>部署与试运行</w:t>
      </w:r>
      <w:bookmarkEnd w:id="24"/>
    </w:p>
    <w:p w14:paraId="7EC073C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负责在真实运维环境中完成工具的部署，并组织开展试运行工作。试运行周期原则上不少于15个工作日，复杂工具可根据实际情况适当延长。试运行期间应覆盖工具设计的核心使用场景，运维部须指定专人记录运行过程中的问题与异常情况。试运行结束后，运维部须编制《试运行报告》，内容包括运行情况总结、问题统计、用户反馈及是否具备正式上线条件的明确结论。试运行期间发现的关键缺陷，由研发部负责限期修复，直至满足上线要求。</w:t>
      </w:r>
    </w:p>
    <w:p w14:paraId="32C39997">
      <w:pPr>
        <w:pStyle w:val="31"/>
        <w:bidi w:val="0"/>
        <w:rPr>
          <w:rFonts w:hint="eastAsia"/>
          <w:lang w:val="en-US" w:eastAsia="zh-CN"/>
        </w:rPr>
      </w:pPr>
      <w:bookmarkStart w:id="25" w:name="_Toc21039"/>
      <w:r>
        <w:rPr>
          <w:rFonts w:hint="eastAsia"/>
          <w:lang w:val="en-US" w:eastAsia="zh-CN"/>
        </w:rPr>
        <w:t>应用推广</w:t>
      </w:r>
      <w:bookmarkEnd w:id="25"/>
    </w:p>
    <w:p w14:paraId="320AF88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试运行通过并经质量部确认后，运维部应负责将工具正式纳入日常运维工作流程，并组织内部培训推广。具体工作包括编制或更新相关操作规程、组织全员操作培训并留存培训记录、明确工具使用的责任人与考核要求。通过应用推广，逐步替代原有手工或低效操作方式，确保研发成果能够真正融入运维业务，产生实际价值。</w:t>
      </w:r>
    </w:p>
    <w:p w14:paraId="2F595118">
      <w:pPr>
        <w:pStyle w:val="31"/>
        <w:bidi w:val="0"/>
        <w:rPr>
          <w:rFonts w:hint="eastAsia"/>
          <w:lang w:val="en-US" w:eastAsia="zh-CN"/>
        </w:rPr>
      </w:pPr>
      <w:bookmarkStart w:id="26" w:name="_Toc22374"/>
      <w:r>
        <w:rPr>
          <w:rFonts w:hint="eastAsia"/>
          <w:lang w:val="en-US" w:eastAsia="zh-CN"/>
        </w:rPr>
        <w:t>效果评估</w:t>
      </w:r>
      <w:bookmarkEnd w:id="26"/>
    </w:p>
    <w:p w14:paraId="27BD1BD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具正式纳入运维流程满3个月后，运维部应联合质量部开展效果评估工作。评估内容须对照立项阶段的预期效益，包括效率提升率、故障响应时间缩短情况、人工成本节约等量化指标，同时评估工具实际使用覆盖率与频次，并开展用户满意度调查。评估结果形成《研发成果应用效果评估报告》，经运维部、研发部、质量部三方会签后存档，作为后续迭代优化及新项目立项的重要参考依据。</w:t>
      </w:r>
    </w:p>
    <w:p w14:paraId="199223BF">
      <w:pPr>
        <w:pStyle w:val="31"/>
        <w:bidi w:val="0"/>
        <w:rPr>
          <w:rFonts w:hint="eastAsia"/>
          <w:lang w:val="en-US" w:eastAsia="zh-CN"/>
        </w:rPr>
      </w:pPr>
      <w:bookmarkStart w:id="27" w:name="_Toc10331"/>
      <w:r>
        <w:rPr>
          <w:rFonts w:hint="eastAsia"/>
          <w:lang w:val="en-US" w:eastAsia="zh-CN"/>
        </w:rPr>
        <w:t>持续优化与退出</w:t>
      </w:r>
      <w:bookmarkEnd w:id="27"/>
    </w:p>
    <w:p w14:paraId="1016341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应建立日常反馈渠道，定期汇总使用意见和建议，向研发部提交《工具优化需求单》。研发部将其纳入后续版本规划，形成“研发—应用—反馈—优化”的闭环管理机制。当工具因技术迭代、业务变更或存在更优替代方案而不再适用时，由运维部提出《工具退出申请》，经研发部评估、质量部审核、管理者代表批准后，正式停止使用并从运维流程中移除，相关文档归档保存不少于5年。</w:t>
      </w:r>
    </w:p>
    <w:p w14:paraId="5853D6FB">
      <w:pPr>
        <w:pStyle w:val="30"/>
        <w:bidi w:val="0"/>
        <w:rPr>
          <w:rFonts w:hint="default"/>
          <w:lang w:val="en-US" w:eastAsia="zh-CN"/>
        </w:rPr>
      </w:pPr>
      <w:bookmarkStart w:id="28" w:name="_Toc6238"/>
      <w:r>
        <w:rPr>
          <w:rFonts w:hint="eastAsia"/>
          <w:lang w:val="en-US" w:eastAsia="zh-CN"/>
        </w:rPr>
        <w:t>考核指标</w:t>
      </w:r>
      <w:bookmarkEnd w:id="28"/>
    </w:p>
    <w:p w14:paraId="70E5E1FB">
      <w:pPr>
        <w:pStyle w:val="29"/>
        <w:ind w:left="0" w:leftChars="0" w:right="0" w:righ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研发管理考核指标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839"/>
        <w:gridCol w:w="3637"/>
        <w:gridCol w:w="1107"/>
        <w:gridCol w:w="1094"/>
      </w:tblGrid>
      <w:tr w14:paraId="3F47E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2930A6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839" w:type="dxa"/>
          </w:tcPr>
          <w:p w14:paraId="4E65BB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637" w:type="dxa"/>
          </w:tcPr>
          <w:p w14:paraId="66FA10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53587E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779F82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1379B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30F09F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839" w:type="dxa"/>
          </w:tcPr>
          <w:p w14:paraId="7EDCFC1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研发资金投入率</w:t>
            </w:r>
          </w:p>
        </w:tc>
        <w:tc>
          <w:tcPr>
            <w:tcW w:w="3637" w:type="dxa"/>
          </w:tcPr>
          <w:p w14:paraId="44986C0F">
            <w:pPr>
              <w:pStyle w:val="29"/>
              <w:widowControl w:val="0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" w:hAnsi="仿宋" w:cs="宋体"/>
                <w:kern w:val="0"/>
                <w:sz w:val="21"/>
                <w:szCs w:val="21"/>
              </w:rPr>
              <w:t>（实际投入资金</w:t>
            </w:r>
            <w:r>
              <w:rPr>
                <w:rFonts w:ascii="仿宋" w:hAnsi="仿宋" w:cs="宋体"/>
                <w:kern w:val="0"/>
                <w:sz w:val="21"/>
                <w:szCs w:val="21"/>
              </w:rPr>
              <w:t>/</w:t>
            </w:r>
            <w:r>
              <w:rPr>
                <w:rFonts w:hint="eastAsia" w:ascii="仿宋" w:hAnsi="仿宋" w:cs="宋体"/>
                <w:kern w:val="0"/>
                <w:sz w:val="21"/>
                <w:szCs w:val="21"/>
              </w:rPr>
              <w:t>计划投入资金）</w:t>
            </w:r>
            <w:r>
              <w:rPr>
                <w:rFonts w:ascii="仿宋" w:hAnsi="仿宋" w:cs="宋体"/>
                <w:kern w:val="0"/>
                <w:sz w:val="21"/>
                <w:szCs w:val="21"/>
              </w:rPr>
              <w:t>*100%</w:t>
            </w:r>
          </w:p>
        </w:tc>
        <w:tc>
          <w:tcPr>
            <w:tcW w:w="1107" w:type="dxa"/>
          </w:tcPr>
          <w:p w14:paraId="0250488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年度</w:t>
            </w:r>
          </w:p>
        </w:tc>
        <w:tc>
          <w:tcPr>
            <w:tcW w:w="1094" w:type="dxa"/>
          </w:tcPr>
          <w:p w14:paraId="3DF0C2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≥9</w:t>
            </w: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0</w:t>
            </w: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%</w:t>
            </w:r>
          </w:p>
        </w:tc>
      </w:tr>
    </w:tbl>
    <w:p w14:paraId="61CF0E79">
      <w:pPr>
        <w:pStyle w:val="28"/>
        <w:bidi w:val="0"/>
        <w:rPr>
          <w:rFonts w:hint="eastAsia"/>
          <w:lang w:val="en-US" w:eastAsia="zh-CN"/>
        </w:rPr>
      </w:pPr>
      <w:bookmarkStart w:id="29" w:name="_Toc20890"/>
      <w:r>
        <w:rPr>
          <w:rFonts w:hint="eastAsia"/>
          <w:lang w:val="en-US" w:eastAsia="zh-CN"/>
        </w:rPr>
        <w:t>附则</w:t>
      </w:r>
      <w:bookmarkEnd w:id="29"/>
    </w:p>
    <w:p w14:paraId="42E938F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本制度最终解释权和修订权归研发部。</w:t>
      </w:r>
    </w:p>
    <w:p w14:paraId="06E5AA7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本制度自颁布之日起施行。</w:t>
      </w:r>
    </w:p>
    <w:p w14:paraId="1398E6C5">
      <w:pPr>
        <w:pStyle w:val="28"/>
        <w:bidi w:val="0"/>
        <w:rPr>
          <w:rFonts w:hint="eastAsia"/>
          <w:lang w:val="en-US" w:eastAsia="zh-CN"/>
        </w:rPr>
      </w:pPr>
      <w:bookmarkStart w:id="30" w:name="_Toc13385"/>
      <w:r>
        <w:rPr>
          <w:rFonts w:hint="eastAsia"/>
          <w:lang w:val="en-US" w:eastAsia="zh-CN"/>
        </w:rPr>
        <w:t>附件</w:t>
      </w:r>
      <w:bookmarkEnd w:id="30"/>
    </w:p>
    <w:p w14:paraId="24A5D1EF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《运维工具需求调研报告（模板）》</w:t>
      </w:r>
    </w:p>
    <w:p w14:paraId="15E5C42E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《项目立项书（模板）》</w:t>
      </w:r>
    </w:p>
    <w:p w14:paraId="45DF8800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《项目开发计划（模板）》</w:t>
      </w:r>
    </w:p>
    <w:p w14:paraId="57905041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《运维工具设计说明书（模板）》</w:t>
      </w:r>
    </w:p>
    <w:p w14:paraId="188E8854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《运维工具测试方案（模板）》</w:t>
      </w:r>
    </w:p>
    <w:p w14:paraId="0FA8D9CD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《运维工具测试报告（模板）》</w:t>
      </w:r>
    </w:p>
    <w:p w14:paraId="531CC427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《工具使用说明书（模板）》</w:t>
      </w:r>
    </w:p>
    <w:p w14:paraId="23D53CC8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《工具部署指导手册（模板）》</w:t>
      </w:r>
    </w:p>
    <w:p w14:paraId="01B6B7B3">
      <w:pPr>
        <w:pStyle w:val="29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《项目总结报告（模板）》</w:t>
      </w:r>
    </w:p>
    <w:p w14:paraId="5F2987B7">
      <w:pPr>
        <w:pStyle w:val="28"/>
        <w:bidi w:val="0"/>
        <w:rPr>
          <w:rFonts w:hint="eastAsia"/>
          <w:lang w:val="en-US" w:eastAsia="zh-CN"/>
        </w:rPr>
      </w:pPr>
      <w:bookmarkStart w:id="31" w:name="_Toc8839"/>
      <w:r>
        <w:rPr>
          <w:rFonts w:hint="eastAsia"/>
          <w:lang w:val="en-US" w:eastAsia="zh-CN"/>
        </w:rPr>
        <w:t>记录</w:t>
      </w:r>
      <w:bookmarkEnd w:id="31"/>
    </w:p>
    <w:p w14:paraId="6EA3F7BF">
      <w:pPr>
        <w:pStyle w:val="29"/>
        <w:numPr>
          <w:ilvl w:val="0"/>
          <w:numId w:val="10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《评审过程记录表》</w:t>
      </w:r>
    </w:p>
    <w:p w14:paraId="68AF8184">
      <w:pPr>
        <w:pStyle w:val="29"/>
        <w:numPr>
          <w:ilvl w:val="0"/>
          <w:numId w:val="10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《代码走查记录表》</w:t>
      </w:r>
    </w:p>
    <w:p w14:paraId="02739695">
      <w:pPr>
        <w:pStyle w:val="29"/>
        <w:numPr>
          <w:ilvl w:val="0"/>
          <w:numId w:val="10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《配置库入库清单》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70187E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69E365"/>
    <w:multiLevelType w:val="singleLevel"/>
    <w:tmpl w:val="8669E3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F648049"/>
    <w:multiLevelType w:val="singleLevel"/>
    <w:tmpl w:val="9F64804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38FEFC6"/>
    <w:multiLevelType w:val="singleLevel"/>
    <w:tmpl w:val="C38FEF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A09909B"/>
    <w:multiLevelType w:val="singleLevel"/>
    <w:tmpl w:val="FA09909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E577423"/>
    <w:multiLevelType w:val="singleLevel"/>
    <w:tmpl w:val="0E57742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DCC3EAE"/>
    <w:multiLevelType w:val="singleLevel"/>
    <w:tmpl w:val="1DCC3EA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97583CD"/>
    <w:multiLevelType w:val="singleLevel"/>
    <w:tmpl w:val="397583C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DC60F74"/>
    <w:multiLevelType w:val="singleLevel"/>
    <w:tmpl w:val="5DC60F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6E8198AC"/>
    <w:multiLevelType w:val="singleLevel"/>
    <w:tmpl w:val="6E8198A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9"/>
  </w:num>
  <w:num w:numId="3">
    <w:abstractNumId w:val="6"/>
  </w:num>
  <w:num w:numId="4">
    <w:abstractNumId w:val="3"/>
  </w:num>
  <w:num w:numId="5">
    <w:abstractNumId w:val="2"/>
  </w:num>
  <w:num w:numId="6">
    <w:abstractNumId w:val="8"/>
  </w:num>
  <w:num w:numId="7">
    <w:abstractNumId w:val="0"/>
  </w:num>
  <w:num w:numId="8">
    <w:abstractNumId w:val="5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86578"/>
    <w:rsid w:val="1E593913"/>
    <w:rsid w:val="2FAA48BF"/>
    <w:rsid w:val="3B037CB5"/>
    <w:rsid w:val="3B8E778B"/>
    <w:rsid w:val="45021FD8"/>
    <w:rsid w:val="5F622211"/>
    <w:rsid w:val="71D84CE0"/>
    <w:rsid w:val="78253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1890</Words>
  <Characters>2074</Characters>
  <Lines>0</Lines>
  <Paragraphs>0</Paragraphs>
  <TotalTime>0</TotalTime>
  <ScaleCrop>false</ScaleCrop>
  <LinksUpToDate>false</LinksUpToDate>
  <CharactersWithSpaces>2191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2026-05-25T03:59:25Z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