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D481D8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8838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0A9690F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1204"/>
      <w:r>
        <w:rPr>
          <w:rFonts w:hint="eastAsia"/>
          <w:lang w:val="en-US" w:eastAsia="zh-CN"/>
        </w:rPr>
        <w:t>2025年度运维服务技术研发规划</w:t>
      </w:r>
      <w:bookmarkEnd w:id="1"/>
    </w:p>
    <w:p w14:paraId="67EC589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文件编号：ZGS-07-02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309D3C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2432" w:type="dxa"/>
          </w:tcPr>
          <w:p w14:paraId="729A47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研发部</w:t>
            </w:r>
          </w:p>
        </w:tc>
        <w:tc>
          <w:tcPr>
            <w:tcW w:w="2708" w:type="dxa"/>
          </w:tcPr>
          <w:p w14:paraId="541C52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416B56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7BD8E9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D48EA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13" w:name="_GoBack"/>
            <w:bookmarkEnd w:id="13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55116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89ECA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批准人:刘霞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15F5DB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1587B3B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A142D7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209FF9E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74CC5B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2B1474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7F02A1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775605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5C22CD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0E0B93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567D8F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580E32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5A27B0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刘霞</w:t>
            </w:r>
          </w:p>
        </w:tc>
      </w:tr>
      <w:tr w14:paraId="4B2501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3D5211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3C30D7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338E182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0B50E2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425A56D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77DE364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1944E4D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83E711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6696BA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A0BFB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6354137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5B2C7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4F894B6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0BF678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AEAE8F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054C6A1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F66E1B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_Toc28838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_Toc28838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4C3F0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运维服务技术研发规划</w:t>
          </w:r>
          <w:r>
            <w:tab/>
          </w:r>
          <w:r>
            <w:fldChar w:fldCharType="begin"/>
          </w:r>
          <w:r>
            <w:instrText xml:space="preserve"> PAGEREF _Toc21204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CDA0D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_Toc10411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_Toc10411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69776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_Toc6776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总体规划</w:t>
          </w:r>
          <w:r>
            <w:tab/>
          </w:r>
          <w:r>
            <w:fldChar w:fldCharType="begin"/>
          </w:r>
          <w:r>
            <w:instrText xml:space="preserve"> PAGEREF _Toc6776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F2965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_Toc29131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禅道过程管理工具项目</w:t>
          </w:r>
          <w:r>
            <w:rPr>
              <w:rFonts w:hint="eastAsia"/>
              <w:lang w:val="en-US" w:eastAsia="zh-CN"/>
            </w:rPr>
            <w:t>二次开发</w:t>
          </w:r>
          <w:r>
            <w:tab/>
          </w:r>
          <w:r>
            <w:fldChar w:fldCharType="begin"/>
          </w:r>
          <w:r>
            <w:instrText xml:space="preserve"> PAGEREF _Toc29131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EEE46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_Toc4499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研发目标</w:t>
          </w:r>
          <w:r>
            <w:tab/>
          </w:r>
          <w:r>
            <w:fldChar w:fldCharType="begin"/>
          </w:r>
          <w:r>
            <w:instrText xml:space="preserve"> PAGEREF _Toc4499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81D22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_Toc32038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研发团队</w:t>
          </w:r>
          <w:r>
            <w:tab/>
          </w:r>
          <w:r>
            <w:fldChar w:fldCharType="begin"/>
          </w:r>
          <w:r>
            <w:instrText xml:space="preserve"> PAGEREF _Toc32038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889B0D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研发</w:t>
          </w:r>
          <w:r>
            <w:rPr>
              <w:rFonts w:hint="eastAsia"/>
              <w:lang w:val="en-US" w:eastAsia="zh-CN"/>
            </w:rPr>
            <w:t>环境</w:t>
          </w:r>
          <w:r>
            <w:tab/>
          </w:r>
          <w:r>
            <w:fldChar w:fldCharType="begin"/>
          </w:r>
          <w:r>
            <w:instrText xml:space="preserve"> PAGEREF _Toc25880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D48D7D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_Toc19185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 研发</w:t>
          </w:r>
          <w:r>
            <w:rPr>
              <w:rFonts w:hint="eastAsia"/>
              <w:lang w:val="en-US" w:eastAsia="zh-CN"/>
            </w:rPr>
            <w:t>进度</w:t>
          </w:r>
          <w:r>
            <w:tab/>
          </w:r>
          <w:r>
            <w:fldChar w:fldCharType="begin"/>
          </w:r>
          <w:r>
            <w:instrText xml:space="preserve"> PAGEREF _Toc19185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46070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_Toc10062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运维服务手册研发</w:t>
          </w:r>
          <w:r>
            <w:tab/>
          </w:r>
          <w:r>
            <w:fldChar w:fldCharType="begin"/>
          </w:r>
          <w:r>
            <w:instrText xml:space="preserve"> PAGEREF _Toc10062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D2231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_Toc29612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研发经费</w:t>
          </w:r>
          <w:r>
            <w:tab/>
          </w:r>
          <w:r>
            <w:fldChar w:fldCharType="begin"/>
          </w:r>
          <w:r>
            <w:instrText xml:space="preserve"> PAGEREF _Toc29612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C1D84E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_Toc2210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新技术研发</w:t>
          </w:r>
          <w:r>
            <w:tab/>
          </w:r>
          <w:r>
            <w:fldChar w:fldCharType="begin"/>
          </w:r>
          <w:r>
            <w:instrText xml:space="preserve"> PAGEREF _Toc2210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CB837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68B7718B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956772C">
      <w:pPr>
        <w:pStyle w:val="28"/>
        <w:bidi w:val="0"/>
        <w:rPr>
          <w:rFonts w:hint="default"/>
          <w:lang w:val="en-US" w:eastAsia="zh-CN"/>
        </w:rPr>
      </w:pPr>
      <w:bookmarkStart w:id="2" w:name="_Toc10411"/>
      <w:r>
        <w:rPr>
          <w:rFonts w:hint="default"/>
          <w:lang w:val="en-US" w:eastAsia="zh-CN"/>
        </w:rPr>
        <w:t>概述</w:t>
      </w:r>
      <w:bookmarkEnd w:id="2"/>
    </w:p>
    <w:p w14:paraId="65A3E96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有效支撑本公司运维服务能力成熟度（ITSS三级）的认证与持续提升，特制定本研发规划。本项目旨在通过研发与部署禅道过程管理工具，构建一个统一、标准化的运维服务过程管理平台，实现对公司《运维服务过程框架管理制度》的线上化、精细化落地。</w:t>
      </w:r>
    </w:p>
    <w:p w14:paraId="0DA2C1F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本规划的读者对象为：公司管理层、运维部、研发部、质量部、人力部、采购部及项目组全体成员。</w:t>
      </w:r>
    </w:p>
    <w:p w14:paraId="78226744">
      <w:pPr>
        <w:pStyle w:val="28"/>
        <w:bidi w:val="0"/>
        <w:rPr>
          <w:rFonts w:hint="default"/>
          <w:lang w:val="en-US" w:eastAsia="zh-CN"/>
        </w:rPr>
      </w:pPr>
      <w:bookmarkStart w:id="3" w:name="_Toc6776"/>
      <w:r>
        <w:rPr>
          <w:rFonts w:hint="default"/>
          <w:lang w:val="en-US" w:eastAsia="zh-CN"/>
        </w:rPr>
        <w:t>总体规划</w:t>
      </w:r>
      <w:bookmarkEnd w:id="3"/>
    </w:p>
    <w:p w14:paraId="2B104D7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项目基于开源禅道平台，进行以工作流引擎定制为核心的二次开发。规划通过配置与开发，在禅道中构建与公司制度完全匹配的运维过程模型，实现任务状态、流转规则、角色权限的精细控制，打通跨部门协同壁垒，形成覆盖服务全生命周期的线上管理闭环。</w:t>
      </w:r>
    </w:p>
    <w:p w14:paraId="08E3DA9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同时，为固化运维服务标准、促进知识传承并满足ITSS体系文件要求，本项目将同步启动</w:t>
      </w:r>
      <w:r>
        <w:rPr>
          <w:rFonts w:hint="eastAsia"/>
          <w:lang w:val="en-US" w:eastAsia="zh-CN"/>
        </w:rPr>
        <w:t>运维手册</w:t>
      </w:r>
      <w:r>
        <w:rPr>
          <w:rFonts w:hint="default"/>
          <w:lang w:val="en-US" w:eastAsia="zh-CN"/>
        </w:rPr>
        <w:t>的编撰工作。该手册将与禅道系统中的线上流程互为支撑，共同构成公司运维服务管理的核心资产。</w:t>
      </w:r>
    </w:p>
    <w:p w14:paraId="7A864B04">
      <w:pPr>
        <w:pStyle w:val="28"/>
        <w:bidi w:val="0"/>
        <w:rPr>
          <w:rFonts w:hint="default"/>
          <w:lang w:val="en-US" w:eastAsia="zh-CN"/>
        </w:rPr>
      </w:pPr>
      <w:bookmarkStart w:id="4" w:name="_Toc29131"/>
      <w:r>
        <w:rPr>
          <w:rFonts w:hint="default"/>
          <w:lang w:val="en-US" w:eastAsia="zh-CN"/>
        </w:rPr>
        <w:t>禅道过程管理工具项目</w:t>
      </w:r>
      <w:r>
        <w:rPr>
          <w:rFonts w:hint="eastAsia"/>
          <w:lang w:val="en-US" w:eastAsia="zh-CN"/>
        </w:rPr>
        <w:t>二次开发</w:t>
      </w:r>
      <w:bookmarkEnd w:id="4"/>
    </w:p>
    <w:p w14:paraId="0041B3FA">
      <w:pPr>
        <w:pStyle w:val="30"/>
        <w:bidi w:val="0"/>
        <w:rPr>
          <w:rFonts w:hint="default"/>
          <w:lang w:val="en-US" w:eastAsia="zh-CN"/>
        </w:rPr>
      </w:pPr>
      <w:bookmarkStart w:id="5" w:name="_Toc4499"/>
      <w:r>
        <w:rPr>
          <w:rFonts w:hint="default"/>
          <w:lang w:val="en-US" w:eastAsia="zh-CN"/>
        </w:rPr>
        <w:t>研发目标</w:t>
      </w:r>
      <w:bookmarkEnd w:id="5"/>
    </w:p>
    <w:p w14:paraId="4C48B1AA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公司结合2024年运维工具使用情况，为完善</w:t>
      </w:r>
      <w:r>
        <w:rPr>
          <w:rFonts w:hint="default"/>
          <w:lang w:val="en-US" w:eastAsia="zh-CN"/>
        </w:rPr>
        <w:t>现有审批流程线下执行不透明、环节易遗漏、权责不清晰、效率低下且记录难以追溯的痛点。通过本次审批流定制，实现：</w:t>
      </w:r>
    </w:p>
    <w:p w14:paraId="345BF86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审批路径强制固化：将ITSS体系及公司管理制度所要求的关键审批流程（如变更审批、资源申请、预算批复等）在系统中进行唯一路径固化，确保任何操作都必须经过规定的审批环节，杜绝越权与违规。</w:t>
      </w:r>
    </w:p>
    <w:p w14:paraId="1A03FBB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流转条件自动驱动：配置基于业务规则的自动流转逻辑，实现任务在提交、驳回、转审等操作后，自动跳转至下一审批节点并通知对应审批人，大幅缩短等待时间。</w:t>
      </w:r>
    </w:p>
    <w:p w14:paraId="06F5594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审批权限精细管控：根据不同审批流程与环节，精确控制审批人角色的视图、操作与决策权限（如查看、通过、驳回、加签），确保权责对等与信息安全。</w:t>
      </w:r>
    </w:p>
    <w:p w14:paraId="6F6702F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审批数据完整记录：为每一次审批提供不可篡改的全过程记录，包括审批人、时间、意见与结论，为服务审计、合规检查与效能分析提供真实、可信的数据基础。</w:t>
      </w:r>
    </w:p>
    <w:p w14:paraId="1621FB2A">
      <w:pPr>
        <w:pStyle w:val="30"/>
        <w:bidi w:val="0"/>
        <w:rPr>
          <w:rFonts w:hint="default"/>
          <w:lang w:val="en-US" w:eastAsia="zh-CN"/>
        </w:rPr>
      </w:pPr>
      <w:bookmarkStart w:id="6" w:name="_Toc32038"/>
      <w:r>
        <w:rPr>
          <w:rFonts w:hint="default"/>
          <w:lang w:val="en-US" w:eastAsia="zh-CN"/>
        </w:rPr>
        <w:t>研发团队</w:t>
      </w:r>
      <w:bookmarkEnd w:id="6"/>
    </w:p>
    <w:p w14:paraId="65B4C40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根据公司发展需要，运维工具研发团队人员配置信息如表3-1所示</w:t>
      </w:r>
    </w:p>
    <w:p w14:paraId="57CB6EDF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人员配置表</w:t>
      </w:r>
    </w:p>
    <w:tbl>
      <w:tblPr>
        <w:tblStyle w:val="21"/>
        <w:tblW w:w="86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0"/>
        <w:gridCol w:w="1675"/>
        <w:gridCol w:w="5280"/>
      </w:tblGrid>
      <w:tr w14:paraId="31D3A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0" w:type="dxa"/>
          </w:tcPr>
          <w:p w14:paraId="57185114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职位名称</w:t>
            </w:r>
          </w:p>
        </w:tc>
        <w:tc>
          <w:tcPr>
            <w:tcW w:w="1675" w:type="dxa"/>
          </w:tcPr>
          <w:p w14:paraId="45AE9029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所属部门</w:t>
            </w:r>
          </w:p>
        </w:tc>
        <w:tc>
          <w:tcPr>
            <w:tcW w:w="5280" w:type="dxa"/>
          </w:tcPr>
          <w:p w14:paraId="35FF890A">
            <w:pPr>
              <w:pStyle w:val="29"/>
              <w:widowControl w:val="0"/>
              <w:ind w:right="0" w:right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职责描述</w:t>
            </w:r>
          </w:p>
        </w:tc>
      </w:tr>
      <w:tr w14:paraId="7B300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0" w:type="dxa"/>
          </w:tcPr>
          <w:p w14:paraId="47E60F24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研发部部长</w:t>
            </w:r>
          </w:p>
        </w:tc>
        <w:tc>
          <w:tcPr>
            <w:tcW w:w="1675" w:type="dxa"/>
          </w:tcPr>
          <w:p w14:paraId="65C44227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</w:t>
            </w:r>
          </w:p>
        </w:tc>
        <w:tc>
          <w:tcPr>
            <w:tcW w:w="5280" w:type="dxa"/>
          </w:tcPr>
          <w:p w14:paraId="67AF6A9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总体规划研发进度</w:t>
            </w:r>
          </w:p>
        </w:tc>
      </w:tr>
      <w:tr w14:paraId="45464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0" w:type="dxa"/>
          </w:tcPr>
          <w:p w14:paraId="7B462429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开发工程师</w:t>
            </w:r>
          </w:p>
        </w:tc>
        <w:tc>
          <w:tcPr>
            <w:tcW w:w="1675" w:type="dxa"/>
          </w:tcPr>
          <w:p w14:paraId="0936AF2B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</w:t>
            </w:r>
          </w:p>
        </w:tc>
        <w:tc>
          <w:tcPr>
            <w:tcW w:w="5280" w:type="dxa"/>
          </w:tcPr>
          <w:p w14:paraId="329F54F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编码、单元测试</w:t>
            </w:r>
          </w:p>
        </w:tc>
      </w:tr>
      <w:tr w14:paraId="7C80C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0" w:type="dxa"/>
          </w:tcPr>
          <w:p w14:paraId="223C11A8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运维项目部长</w:t>
            </w:r>
          </w:p>
        </w:tc>
        <w:tc>
          <w:tcPr>
            <w:tcW w:w="1675" w:type="dxa"/>
          </w:tcPr>
          <w:p w14:paraId="551C3473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</w:t>
            </w:r>
          </w:p>
        </w:tc>
        <w:tc>
          <w:tcPr>
            <w:tcW w:w="5280" w:type="dxa"/>
          </w:tcPr>
          <w:p w14:paraId="26A3F73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总体规划项目进度</w:t>
            </w:r>
          </w:p>
        </w:tc>
      </w:tr>
      <w:tr w14:paraId="508160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0" w:type="dxa"/>
          </w:tcPr>
          <w:p w14:paraId="0393558F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质量部部长</w:t>
            </w:r>
          </w:p>
        </w:tc>
        <w:tc>
          <w:tcPr>
            <w:tcW w:w="1675" w:type="dxa"/>
          </w:tcPr>
          <w:p w14:paraId="696E698F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质量部</w:t>
            </w:r>
          </w:p>
        </w:tc>
        <w:tc>
          <w:tcPr>
            <w:tcW w:w="5280" w:type="dxa"/>
          </w:tcPr>
          <w:p w14:paraId="75AD580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跟进研发质量</w:t>
            </w:r>
          </w:p>
        </w:tc>
      </w:tr>
      <w:tr w14:paraId="46AE66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0" w:type="dxa"/>
          </w:tcPr>
          <w:p w14:paraId="5A6FD6DA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需求分析师</w:t>
            </w:r>
          </w:p>
        </w:tc>
        <w:tc>
          <w:tcPr>
            <w:tcW w:w="1675" w:type="dxa"/>
          </w:tcPr>
          <w:p w14:paraId="391BC995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</w:t>
            </w:r>
          </w:p>
        </w:tc>
        <w:tc>
          <w:tcPr>
            <w:tcW w:w="5280" w:type="dxa"/>
          </w:tcPr>
          <w:p w14:paraId="34F1261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收集、分析各运维部门需求，并生成需求报告</w:t>
            </w:r>
          </w:p>
        </w:tc>
      </w:tr>
    </w:tbl>
    <w:p w14:paraId="29344AD9">
      <w:pPr>
        <w:pStyle w:val="30"/>
        <w:bidi w:val="0"/>
        <w:rPr>
          <w:rFonts w:hint="default"/>
          <w:lang w:val="en-US" w:eastAsia="zh-CN"/>
        </w:rPr>
      </w:pPr>
      <w:bookmarkStart w:id="7" w:name="_Toc25880"/>
      <w:r>
        <w:rPr>
          <w:rFonts w:hint="default"/>
          <w:lang w:val="en-US" w:eastAsia="zh-CN"/>
        </w:rPr>
        <w:t>研发</w:t>
      </w:r>
      <w:r>
        <w:rPr>
          <w:rFonts w:hint="eastAsia"/>
          <w:lang w:val="en-US" w:eastAsia="zh-CN"/>
        </w:rPr>
        <w:t>环境</w:t>
      </w:r>
      <w:bookmarkEnd w:id="7"/>
    </w:p>
    <w:p w14:paraId="4F16D42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研发所需环境如表3-2所示</w:t>
      </w:r>
    </w:p>
    <w:p w14:paraId="640CC471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环境需求表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9"/>
        <w:gridCol w:w="1001"/>
        <w:gridCol w:w="1959"/>
        <w:gridCol w:w="2126"/>
      </w:tblGrid>
      <w:tr w14:paraId="2AA1F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3FB41F02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资源名称</w:t>
            </w:r>
          </w:p>
        </w:tc>
        <w:tc>
          <w:tcPr>
            <w:tcW w:w="1001" w:type="dxa"/>
          </w:tcPr>
          <w:p w14:paraId="4EB20731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级别</w:t>
            </w:r>
          </w:p>
        </w:tc>
        <w:tc>
          <w:tcPr>
            <w:tcW w:w="1959" w:type="dxa"/>
          </w:tcPr>
          <w:p w14:paraId="06C2F1C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详细配置</w:t>
            </w:r>
          </w:p>
        </w:tc>
        <w:tc>
          <w:tcPr>
            <w:tcW w:w="2126" w:type="dxa"/>
          </w:tcPr>
          <w:p w14:paraId="13A5354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获取方式</w:t>
            </w:r>
          </w:p>
        </w:tc>
      </w:tr>
      <w:tr w14:paraId="7B6B5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7D84A8ED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开发环境</w:t>
            </w:r>
          </w:p>
        </w:tc>
        <w:tc>
          <w:tcPr>
            <w:tcW w:w="1001" w:type="dxa"/>
          </w:tcPr>
          <w:p w14:paraId="4F05D2D7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关键</w:t>
            </w:r>
          </w:p>
        </w:tc>
        <w:tc>
          <w:tcPr>
            <w:tcW w:w="1959" w:type="dxa"/>
          </w:tcPr>
          <w:p w14:paraId="4938A03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PHP+MySQL</w:t>
            </w:r>
          </w:p>
        </w:tc>
        <w:tc>
          <w:tcPr>
            <w:tcW w:w="2126" w:type="dxa"/>
          </w:tcPr>
          <w:p w14:paraId="7311FC0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开发服务器部署</w:t>
            </w:r>
          </w:p>
        </w:tc>
      </w:tr>
      <w:tr w14:paraId="24792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553C1972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生产环境</w:t>
            </w:r>
          </w:p>
        </w:tc>
        <w:tc>
          <w:tcPr>
            <w:tcW w:w="1001" w:type="dxa"/>
          </w:tcPr>
          <w:p w14:paraId="0F49A24C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关键</w:t>
            </w:r>
          </w:p>
        </w:tc>
        <w:tc>
          <w:tcPr>
            <w:tcW w:w="1959" w:type="dxa"/>
          </w:tcPr>
          <w:p w14:paraId="4062552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云服务器</w:t>
            </w:r>
          </w:p>
        </w:tc>
        <w:tc>
          <w:tcPr>
            <w:tcW w:w="2126" w:type="dxa"/>
          </w:tcPr>
          <w:p w14:paraId="139419D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购买云服务器</w:t>
            </w:r>
          </w:p>
        </w:tc>
      </w:tr>
      <w:tr w14:paraId="389C35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71C3C469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版本控制工具</w:t>
            </w:r>
          </w:p>
        </w:tc>
        <w:tc>
          <w:tcPr>
            <w:tcW w:w="1001" w:type="dxa"/>
          </w:tcPr>
          <w:p w14:paraId="7F669DDC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关键</w:t>
            </w:r>
          </w:p>
        </w:tc>
        <w:tc>
          <w:tcPr>
            <w:tcW w:w="1959" w:type="dxa"/>
          </w:tcPr>
          <w:p w14:paraId="468B646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Github</w:t>
            </w:r>
          </w:p>
        </w:tc>
        <w:tc>
          <w:tcPr>
            <w:tcW w:w="2126" w:type="dxa"/>
          </w:tcPr>
          <w:p w14:paraId="22AC32F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开源，可用</w:t>
            </w:r>
          </w:p>
        </w:tc>
      </w:tr>
    </w:tbl>
    <w:p w14:paraId="5EE96169">
      <w:pPr>
        <w:pStyle w:val="30"/>
        <w:bidi w:val="0"/>
        <w:rPr>
          <w:rFonts w:hint="default"/>
          <w:lang w:val="en-US" w:eastAsia="zh-CN"/>
        </w:rPr>
      </w:pPr>
      <w:bookmarkStart w:id="8" w:name="_Toc19185"/>
      <w:r>
        <w:rPr>
          <w:rFonts w:hint="default"/>
          <w:lang w:val="en-US" w:eastAsia="zh-CN"/>
        </w:rPr>
        <w:t>研发</w:t>
      </w:r>
      <w:r>
        <w:rPr>
          <w:rFonts w:hint="eastAsia"/>
          <w:lang w:val="en-US" w:eastAsia="zh-CN"/>
        </w:rPr>
        <w:t>进度</w:t>
      </w:r>
      <w:bookmarkEnd w:id="8"/>
    </w:p>
    <w:p w14:paraId="0E5490B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研发进度如表3-3所示</w:t>
      </w:r>
    </w:p>
    <w:p w14:paraId="48FA1CD7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为更好更快的完成运维工具开发工作，依据运维工具研发管理制度对研发过程进行拆解，使得研发工作更加稳定有序。研发进度表如3-3所示</w:t>
      </w:r>
    </w:p>
    <w:p w14:paraId="2DA1699F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研发进度表</w:t>
      </w:r>
    </w:p>
    <w:tbl>
      <w:tblPr>
        <w:tblStyle w:val="21"/>
        <w:tblW w:w="896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9"/>
        <w:gridCol w:w="1498"/>
        <w:gridCol w:w="5788"/>
      </w:tblGrid>
      <w:tr w14:paraId="7F9AD9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512B66CA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研发阶段</w:t>
            </w:r>
          </w:p>
        </w:tc>
        <w:tc>
          <w:tcPr>
            <w:tcW w:w="1498" w:type="dxa"/>
          </w:tcPr>
          <w:p w14:paraId="5EB5EFE0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计划时间</w:t>
            </w:r>
          </w:p>
        </w:tc>
        <w:tc>
          <w:tcPr>
            <w:tcW w:w="5788" w:type="dxa"/>
          </w:tcPr>
          <w:p w14:paraId="60063079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工作内容</w:t>
            </w:r>
          </w:p>
        </w:tc>
      </w:tr>
      <w:tr w14:paraId="7ED11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1C0942C3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流程模型设计</w:t>
            </w:r>
          </w:p>
        </w:tc>
        <w:tc>
          <w:tcPr>
            <w:tcW w:w="1498" w:type="dxa"/>
          </w:tcPr>
          <w:p w14:paraId="47AAD43A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2025.4</w:t>
            </w:r>
          </w:p>
        </w:tc>
        <w:tc>
          <w:tcPr>
            <w:tcW w:w="5788" w:type="dxa"/>
          </w:tcPr>
          <w:p w14:paraId="7B10B00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收集运维相关部门的需求，进行分析，生成工作流业务模型，状态图。</w:t>
            </w:r>
          </w:p>
        </w:tc>
      </w:tr>
      <w:tr w14:paraId="19B27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0862EFCD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开发、配置</w:t>
            </w:r>
          </w:p>
        </w:tc>
        <w:tc>
          <w:tcPr>
            <w:tcW w:w="1498" w:type="dxa"/>
          </w:tcPr>
          <w:p w14:paraId="4A51B666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2025.5-7</w:t>
            </w:r>
          </w:p>
        </w:tc>
        <w:tc>
          <w:tcPr>
            <w:tcW w:w="5788" w:type="dxa"/>
          </w:tcPr>
          <w:p w14:paraId="53A62FE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开发自定义工作流</w:t>
            </w:r>
          </w:p>
        </w:tc>
      </w:tr>
      <w:tr w14:paraId="2A92A1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3A77B50C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测试、优化</w:t>
            </w:r>
          </w:p>
        </w:tc>
        <w:tc>
          <w:tcPr>
            <w:tcW w:w="1498" w:type="dxa"/>
          </w:tcPr>
          <w:p w14:paraId="1F470535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2025.8</w:t>
            </w:r>
          </w:p>
        </w:tc>
        <w:tc>
          <w:tcPr>
            <w:tcW w:w="5788" w:type="dxa"/>
          </w:tcPr>
          <w:p w14:paraId="0E8BD90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进行单元、集成测试，修改BUG</w:t>
            </w:r>
          </w:p>
        </w:tc>
      </w:tr>
      <w:tr w14:paraId="14D88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64E46AC3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试运行</w:t>
            </w:r>
          </w:p>
        </w:tc>
        <w:tc>
          <w:tcPr>
            <w:tcW w:w="1498" w:type="dxa"/>
          </w:tcPr>
          <w:p w14:paraId="6ACC1E0C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2025.8</w:t>
            </w:r>
          </w:p>
        </w:tc>
        <w:tc>
          <w:tcPr>
            <w:tcW w:w="5788" w:type="dxa"/>
          </w:tcPr>
          <w:p w14:paraId="2F81A23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优先在运维部试运行，监测使用效果，提出改进意见</w:t>
            </w:r>
          </w:p>
        </w:tc>
      </w:tr>
      <w:tr w14:paraId="7B0C1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79" w:type="dxa"/>
          </w:tcPr>
          <w:p w14:paraId="22F1B2A0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正式运行</w:t>
            </w:r>
          </w:p>
        </w:tc>
        <w:tc>
          <w:tcPr>
            <w:tcW w:w="1498" w:type="dxa"/>
          </w:tcPr>
          <w:p w14:paraId="058DAFB8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2025.11</w:t>
            </w:r>
          </w:p>
        </w:tc>
        <w:tc>
          <w:tcPr>
            <w:tcW w:w="5788" w:type="dxa"/>
          </w:tcPr>
          <w:p w14:paraId="50EE6C1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研发部对系统进行完售后正式上线</w:t>
            </w:r>
          </w:p>
        </w:tc>
      </w:tr>
    </w:tbl>
    <w:p w14:paraId="1F1951CB">
      <w:pPr>
        <w:pStyle w:val="28"/>
        <w:bidi w:val="0"/>
        <w:rPr>
          <w:rFonts w:hint="default"/>
          <w:lang w:val="en-US" w:eastAsia="zh-CN"/>
        </w:rPr>
      </w:pPr>
      <w:bookmarkStart w:id="9" w:name="_Toc10062"/>
      <w:r>
        <w:rPr>
          <w:rFonts w:hint="eastAsia"/>
          <w:lang w:val="en-US" w:eastAsia="zh-CN"/>
        </w:rPr>
        <w:t>运维服务手册研发</w:t>
      </w:r>
      <w:bookmarkEnd w:id="9"/>
    </w:p>
    <w:p w14:paraId="4C057B3E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运维手册研发计划表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6"/>
        <w:gridCol w:w="3575"/>
        <w:gridCol w:w="2841"/>
      </w:tblGrid>
      <w:tr w14:paraId="2BFDA4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34A5F2FC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3575" w:type="dxa"/>
          </w:tcPr>
          <w:p w14:paraId="3ABC1F7C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手册名称</w:t>
            </w:r>
          </w:p>
        </w:tc>
        <w:tc>
          <w:tcPr>
            <w:tcW w:w="2841" w:type="dxa"/>
          </w:tcPr>
          <w:p w14:paraId="3C07B2E5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计划时间</w:t>
            </w:r>
          </w:p>
        </w:tc>
      </w:tr>
      <w:tr w14:paraId="3210B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17FEBD7F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372F1D44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Docker安装nginx</w:t>
            </w:r>
          </w:p>
        </w:tc>
        <w:tc>
          <w:tcPr>
            <w:tcW w:w="2841" w:type="dxa"/>
          </w:tcPr>
          <w:p w14:paraId="008D480D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2025.6</w:t>
            </w:r>
          </w:p>
        </w:tc>
      </w:tr>
      <w:tr w14:paraId="28C16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68677C4D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64EDACB7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Jenkins构建java项目（分布式）</w:t>
            </w:r>
          </w:p>
        </w:tc>
        <w:tc>
          <w:tcPr>
            <w:tcW w:w="2841" w:type="dxa"/>
          </w:tcPr>
          <w:p w14:paraId="46104B8B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2025.7</w:t>
            </w:r>
          </w:p>
        </w:tc>
      </w:tr>
      <w:tr w14:paraId="6B5D89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02899384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6716DBDA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Jenkins构建前端项目（分布式）</w:t>
            </w:r>
          </w:p>
        </w:tc>
        <w:tc>
          <w:tcPr>
            <w:tcW w:w="2841" w:type="dxa"/>
          </w:tcPr>
          <w:p w14:paraId="1B7283FE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2025.8</w:t>
            </w:r>
          </w:p>
        </w:tc>
      </w:tr>
    </w:tbl>
    <w:p w14:paraId="07EEC73F">
      <w:pPr>
        <w:pStyle w:val="28"/>
        <w:bidi w:val="0"/>
        <w:rPr>
          <w:rFonts w:hint="default"/>
          <w:lang w:val="en-US" w:eastAsia="zh-CN"/>
        </w:rPr>
      </w:pPr>
      <w:bookmarkStart w:id="10" w:name="_Toc29612"/>
      <w:r>
        <w:rPr>
          <w:rFonts w:hint="eastAsia"/>
          <w:lang w:val="en-US" w:eastAsia="zh-CN"/>
        </w:rPr>
        <w:t>研发经费</w:t>
      </w:r>
      <w:bookmarkEnd w:id="10"/>
    </w:p>
    <w:p w14:paraId="00459934">
      <w:pPr>
        <w:pStyle w:val="29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本次研发包含工作流定制开发与运维手册研发两部分，预算总额为</w:t>
      </w:r>
      <w:r>
        <w:rPr>
          <w:rFonts w:hint="eastAsia"/>
          <w:lang w:val="en-US" w:eastAsia="zh-CN"/>
        </w:rPr>
        <w:t>20.3</w:t>
      </w:r>
      <w:r>
        <w:rPr>
          <w:rFonts w:hint="default"/>
          <w:lang w:val="en-US" w:eastAsia="zh-CN"/>
        </w:rPr>
        <w:t>万元。</w:t>
      </w:r>
      <w:r>
        <w:rPr>
          <w:rFonts w:hint="eastAsia"/>
          <w:lang w:val="en-US" w:eastAsia="zh-CN"/>
        </w:rPr>
        <w:t>具体使用情况如表5-1所示。</w:t>
      </w:r>
    </w:p>
    <w:p w14:paraId="3477DB70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研发经费投入表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6"/>
        <w:gridCol w:w="3575"/>
        <w:gridCol w:w="2841"/>
      </w:tblGrid>
      <w:tr w14:paraId="108F1D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64B647D8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3575" w:type="dxa"/>
          </w:tcPr>
          <w:p w14:paraId="24378E7F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开支项目</w:t>
            </w:r>
          </w:p>
        </w:tc>
        <w:tc>
          <w:tcPr>
            <w:tcW w:w="2841" w:type="dxa"/>
          </w:tcPr>
          <w:p w14:paraId="4A01A252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金额（万元）</w:t>
            </w:r>
          </w:p>
        </w:tc>
      </w:tr>
      <w:tr w14:paraId="5F188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32801DF8">
            <w:pPr>
              <w:pStyle w:val="29"/>
              <w:widowControl w:val="0"/>
              <w:numPr>
                <w:ilvl w:val="0"/>
                <w:numId w:val="3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17142C57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人力资源成本</w:t>
            </w:r>
          </w:p>
        </w:tc>
        <w:tc>
          <w:tcPr>
            <w:tcW w:w="2841" w:type="dxa"/>
          </w:tcPr>
          <w:p w14:paraId="3D699E16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</w:t>
            </w:r>
          </w:p>
        </w:tc>
      </w:tr>
      <w:tr w14:paraId="7668F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2C0DCBAE">
            <w:pPr>
              <w:pStyle w:val="29"/>
              <w:widowControl w:val="0"/>
              <w:numPr>
                <w:ilvl w:val="0"/>
                <w:numId w:val="3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69C68DF7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测试与授权费用</w:t>
            </w:r>
          </w:p>
        </w:tc>
        <w:tc>
          <w:tcPr>
            <w:tcW w:w="2841" w:type="dxa"/>
          </w:tcPr>
          <w:p w14:paraId="4B41D10A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0.5</w:t>
            </w:r>
          </w:p>
        </w:tc>
      </w:tr>
      <w:tr w14:paraId="03277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7838CE7C">
            <w:pPr>
              <w:pStyle w:val="29"/>
              <w:widowControl w:val="0"/>
              <w:numPr>
                <w:ilvl w:val="0"/>
                <w:numId w:val="3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66B2D872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手册研发成本</w:t>
            </w:r>
          </w:p>
        </w:tc>
        <w:tc>
          <w:tcPr>
            <w:tcW w:w="2841" w:type="dxa"/>
          </w:tcPr>
          <w:p w14:paraId="671906FB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1.8</w:t>
            </w:r>
          </w:p>
        </w:tc>
      </w:tr>
      <w:tr w14:paraId="670E4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0E2B8BF3">
            <w:pPr>
              <w:pStyle w:val="29"/>
              <w:widowControl w:val="0"/>
              <w:numPr>
                <w:ilvl w:val="0"/>
                <w:numId w:val="3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43F534E0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总计</w:t>
            </w:r>
          </w:p>
        </w:tc>
        <w:tc>
          <w:tcPr>
            <w:tcW w:w="2841" w:type="dxa"/>
          </w:tcPr>
          <w:p w14:paraId="63EFE589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20.3</w:t>
            </w:r>
          </w:p>
        </w:tc>
      </w:tr>
    </w:tbl>
    <w:p w14:paraId="1DF8958C">
      <w:pPr>
        <w:pStyle w:val="28"/>
        <w:bidi w:val="0"/>
        <w:rPr>
          <w:rFonts w:hint="default"/>
          <w:lang w:val="en-US" w:eastAsia="zh-CN"/>
        </w:rPr>
      </w:pPr>
      <w:bookmarkStart w:id="11" w:name="_Toc2210"/>
      <w:bookmarkStart w:id="12" w:name="_Toc14087"/>
      <w:r>
        <w:rPr>
          <w:rFonts w:hint="eastAsia"/>
          <w:lang w:val="en-US" w:eastAsia="zh-CN"/>
        </w:rPr>
        <w:t>新技术研发</w:t>
      </w:r>
      <w:bookmarkEnd w:id="11"/>
      <w:bookmarkEnd w:id="12"/>
    </w:p>
    <w:p w14:paraId="23CB80F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为构建公司未来的技术竞争力，本规划在夯实流程化管理的基础上，同步启动新技术的预研工作。本轮研究将聚焦于运维自动化与智能化，旨在从“被动响应”向“主动预防”演进。</w:t>
      </w:r>
    </w:p>
    <w:p w14:paraId="2D79ED6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研究内容与目标：</w:t>
      </w:r>
    </w:p>
    <w:p w14:paraId="332EDD7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点探索AIOps智能运维与可观测性技术栈。计划在2025年第四季度，基于开源技术搭建原型系统，实现智能告警收敛与自动化故障处理的初步能力，并与禅道流程平台进行集成验证。此举旨在提升运维效率，并为公司积累智能运维领域的核心技术与人才储备。</w:t>
      </w:r>
    </w:p>
    <w:p w14:paraId="1BF5D865">
      <w:pPr>
        <w:pStyle w:val="29"/>
        <w:rPr>
          <w:rFonts w:hint="default"/>
          <w:lang w:val="en-US" w:eastAsia="zh-CN"/>
        </w:rPr>
      </w:pPr>
    </w:p>
    <w:sectPr>
      <w:headerReference r:id="rId5" w:type="default"/>
      <w:foot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7C093C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EFE97EC"/>
    <w:multiLevelType w:val="singleLevel"/>
    <w:tmpl w:val="EEFE97E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29320EFE"/>
    <w:multiLevelType w:val="singleLevel"/>
    <w:tmpl w:val="29320EF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78120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1727</Words>
  <Characters>1935</Characters>
  <Lines>0</Lines>
  <Paragraphs>0</Paragraphs>
  <TotalTime>0</TotalTime>
  <ScaleCrop>false</ScaleCrop>
  <LinksUpToDate>false</LinksUpToDate>
  <CharactersWithSpaces>1962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2026-05-25T03:45:51Z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