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8D7C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82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13CD0EE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1744"/>
      <w:r>
        <w:rPr>
          <w:rFonts w:hint="eastAsia"/>
          <w:lang w:val="en-US" w:eastAsia="zh-CN"/>
        </w:rPr>
        <w:t>2025年1-12月运维服务技术研发报告</w:t>
      </w:r>
      <w:bookmarkEnd w:id="1"/>
    </w:p>
    <w:p w14:paraId="50DDB8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文件编号：ZGS-07-03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5A83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1D384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3302F7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75328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5A1FB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F332A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32EB9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06A45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批准人:刘霞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161487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5970592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DD4276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197D27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76954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19E31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F5E8F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0C5B8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40C8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37F39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2.30</w:t>
            </w:r>
          </w:p>
        </w:tc>
        <w:tc>
          <w:tcPr>
            <w:tcW w:w="919" w:type="dxa"/>
          </w:tcPr>
          <w:p w14:paraId="5BA11E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577CF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6433D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刘霞</w:t>
            </w:r>
          </w:p>
        </w:tc>
      </w:tr>
      <w:tr w14:paraId="5E03EF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900F7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D644B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97F24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4E911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32B21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DF477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5A806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35BCF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4B0A2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D9A7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87FE5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4B4C3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F918E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4CFAE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36D0D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E92EFE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03BDC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_Toc31826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F936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2025年1-12月运维服务技术研发报告</w:t>
          </w:r>
          <w:r>
            <w:tab/>
          </w:r>
          <w:r>
            <w:fldChar w:fldCharType="begin"/>
          </w:r>
          <w:r>
            <w:instrText xml:space="preserve"> PAGEREF _Toc11744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5764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_Toc21235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24B9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_Toc18549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3FB7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_Toc17385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3FA1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</w:t>
          </w:r>
          <w:r>
            <w:rPr>
              <w:rFonts w:hint="eastAsia"/>
              <w:lang w:val="en-US" w:eastAsia="zh-CN"/>
            </w:rPr>
            <w:t>成果</w:t>
          </w:r>
          <w:r>
            <w:tab/>
          </w:r>
          <w:r>
            <w:fldChar w:fldCharType="begin"/>
          </w:r>
          <w:r>
            <w:instrText xml:space="preserve"> PAGEREF _Toc24338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F1BA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3.1.1. 关键成效</w:t>
          </w:r>
          <w:r>
            <w:tab/>
          </w:r>
          <w:r>
            <w:fldChar w:fldCharType="begin"/>
          </w:r>
          <w:r>
            <w:instrText xml:space="preserve"> PAGEREF _Toc16573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92F8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成果描述</w:t>
          </w:r>
          <w:r>
            <w:tab/>
          </w:r>
          <w:r>
            <w:fldChar w:fldCharType="begin"/>
          </w:r>
          <w:r>
            <w:instrText xml:space="preserve"> PAGEREF _Toc12089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2B7D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工作流首页</w:t>
          </w:r>
          <w:r>
            <w:tab/>
          </w:r>
          <w:r>
            <w:fldChar w:fldCharType="begin"/>
          </w:r>
          <w:r>
            <w:instrText xml:space="preserve"> PAGEREF _Toc25214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DEED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新增审批流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8ED12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设计审批流</w:t>
          </w:r>
          <w:r>
            <w:tab/>
          </w:r>
          <w:r>
            <w:fldChar w:fldCharType="begin"/>
          </w:r>
          <w:r>
            <w:instrText xml:space="preserve"> PAGEREF _Toc8074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81AD1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3.2.4. </w:t>
          </w:r>
          <w:r>
            <w:rPr>
              <w:rFonts w:hint="eastAsia"/>
              <w:lang w:val="en-US" w:eastAsia="zh-CN"/>
            </w:rPr>
            <w:t>项目评审</w:t>
          </w:r>
          <w:r>
            <w:tab/>
          </w:r>
          <w:r>
            <w:fldChar w:fldCharType="begin"/>
          </w:r>
          <w:r>
            <w:instrText xml:space="preserve"> PAGEREF _Toc28130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9162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3.2.5. </w:t>
          </w:r>
          <w:r>
            <w:rPr>
              <w:rFonts w:hint="eastAsia"/>
              <w:lang w:val="en-US" w:eastAsia="zh-CN"/>
            </w:rPr>
            <w:t>评审进度</w:t>
          </w:r>
          <w:r>
            <w:tab/>
          </w:r>
          <w:r>
            <w:fldChar w:fldCharType="begin"/>
          </w:r>
          <w:r>
            <w:instrText xml:space="preserve"> PAGEREF _Toc31890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EFA2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研发团队</w:t>
          </w:r>
          <w:r>
            <w:tab/>
          </w:r>
          <w:r>
            <w:fldChar w:fldCharType="begin"/>
          </w:r>
          <w:r>
            <w:instrText xml:space="preserve"> PAGEREF _Toc23243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0184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_Toc31474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A804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D6EC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运维服务手册研发成果</w:t>
          </w:r>
          <w:r>
            <w:tab/>
          </w:r>
          <w:r>
            <w:fldChar w:fldCharType="begin"/>
          </w:r>
          <w:r>
            <w:instrText xml:space="preserve"> PAGEREF _Toc22160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3716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_Toc5426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8009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_Toc30682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47B5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研发成果应用情况</w:t>
          </w:r>
          <w:r>
            <w:tab/>
          </w:r>
          <w:r>
            <w:fldChar w:fldCharType="begin"/>
          </w:r>
          <w:r>
            <w:instrText xml:space="preserve"> PAGEREF _Toc4648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1638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B33C76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2F7C9AF">
      <w:pPr>
        <w:pStyle w:val="28"/>
        <w:bidi w:val="0"/>
        <w:rPr>
          <w:rFonts w:hint="default"/>
          <w:lang w:val="en-US" w:eastAsia="zh-CN"/>
        </w:rPr>
      </w:pPr>
      <w:bookmarkStart w:id="2" w:name="_Toc21235"/>
      <w:r>
        <w:rPr>
          <w:rFonts w:hint="default"/>
          <w:lang w:val="en-US" w:eastAsia="zh-CN"/>
        </w:rPr>
        <w:t>概述</w:t>
      </w:r>
      <w:bookmarkEnd w:id="2"/>
    </w:p>
    <w:p w14:paraId="3424958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服务能力成熟度（ITSS三级）的认证与持续提升，我公司于2025年启动了以“禅道过程管理工具二次开发”为核心的运维研发技术规划。项目旨在通过构建统一的过程管理平台与配套知识体系，解决流程线下执行不透明、协作效率低、过程数据难统计的痛点，并布局未来技术竞争力。目前，项目已按计划完成全部研发与部署工作，达成预期目标。</w:t>
      </w:r>
    </w:p>
    <w:p w14:paraId="7FEB384F">
      <w:pPr>
        <w:pStyle w:val="28"/>
        <w:bidi w:val="0"/>
        <w:rPr>
          <w:rFonts w:hint="default"/>
          <w:lang w:val="en-US" w:eastAsia="zh-CN"/>
        </w:rPr>
      </w:pPr>
      <w:bookmarkStart w:id="3" w:name="_Toc18549"/>
      <w:r>
        <w:rPr>
          <w:rFonts w:hint="default"/>
          <w:lang w:val="en-US" w:eastAsia="zh-CN"/>
        </w:rPr>
        <w:t>总体规划</w:t>
      </w:r>
      <w:bookmarkEnd w:id="3"/>
    </w:p>
    <w:p w14:paraId="64A5314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 w14:paraId="5D2DA1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 w14:paraId="4BEC9C4C">
      <w:pPr>
        <w:pStyle w:val="28"/>
        <w:bidi w:val="0"/>
        <w:rPr>
          <w:rFonts w:hint="default"/>
          <w:lang w:val="en-US" w:eastAsia="zh-CN"/>
        </w:rPr>
      </w:pPr>
      <w:bookmarkStart w:id="4" w:name="_Toc17385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4"/>
    </w:p>
    <w:p w14:paraId="1C759522">
      <w:pPr>
        <w:pStyle w:val="30"/>
        <w:bidi w:val="0"/>
        <w:rPr>
          <w:rFonts w:hint="default"/>
          <w:lang w:val="en-US" w:eastAsia="zh-CN"/>
        </w:rPr>
      </w:pPr>
      <w:bookmarkStart w:id="5" w:name="_Toc24338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成果</w:t>
      </w:r>
      <w:bookmarkEnd w:id="5"/>
    </w:p>
    <w:p w14:paraId="4C20740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基于禅道系统定制开发的审批流引擎已稳定运行，实现了与公司管理制度完全匹配的电子审批流程。</w:t>
      </w:r>
    </w:p>
    <w:p w14:paraId="1355A895">
      <w:pPr>
        <w:pStyle w:val="31"/>
        <w:bidi w:val="0"/>
        <w:rPr>
          <w:rFonts w:hint="default"/>
          <w:lang w:val="en-US" w:eastAsia="zh-CN"/>
        </w:rPr>
      </w:pPr>
      <w:bookmarkStart w:id="6" w:name="_Toc16573"/>
      <w:r>
        <w:rPr>
          <w:rFonts w:hint="default"/>
          <w:lang w:val="en-US" w:eastAsia="zh-CN"/>
        </w:rPr>
        <w:t>关键成效</w:t>
      </w:r>
      <w:bookmarkEnd w:id="6"/>
    </w:p>
    <w:p w14:paraId="2A0E202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审批路径强制固化：成功将“变更管理”、“资源申请”等关键审批流程在系统中固化为唯一执行路径，确保了所有操作必经规定审批环节，从技术上杜绝了越权与违规操作。</w:t>
      </w:r>
    </w:p>
    <w:p w14:paraId="50FCED7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流转过程自动驱动：实现了任务在提交、驳回后的自动流转，系统能精准推送待办事项至下一审批人，平均审批等待时间缩短约70%。</w:t>
      </w:r>
    </w:p>
    <w:p w14:paraId="456710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权限与视图精准管控：根据不同审批环节，精确设定了审批人的操作权限（如通过、驳回、加签）与数据视图，确保了审批过程的权责对等与信息安全。</w:t>
      </w:r>
    </w:p>
    <w:p w14:paraId="37CA5BE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全过程数据记录：系统完整记录了每一次审批的经办人、时间节点、审批意见与最终结论，形成了不可篡改的审计线索，实现了100%的审批记录可追溯。</w:t>
      </w:r>
    </w:p>
    <w:p w14:paraId="06178157">
      <w:pPr>
        <w:pStyle w:val="30"/>
        <w:bidi w:val="0"/>
        <w:rPr>
          <w:rFonts w:hint="default"/>
          <w:lang w:val="en-US" w:eastAsia="zh-CN"/>
        </w:rPr>
      </w:pPr>
      <w:bookmarkStart w:id="7" w:name="_Toc12089"/>
      <w:r>
        <w:rPr>
          <w:rFonts w:hint="default"/>
          <w:lang w:val="en-US" w:eastAsia="zh-CN"/>
        </w:rPr>
        <w:t>成果描述</w:t>
      </w:r>
      <w:bookmarkEnd w:id="7"/>
    </w:p>
    <w:p w14:paraId="77CF491D">
      <w:pPr>
        <w:pStyle w:val="31"/>
        <w:bidi w:val="0"/>
        <w:rPr>
          <w:rFonts w:hint="eastAsia"/>
          <w:lang w:val="en-US" w:eastAsia="zh-CN"/>
        </w:rPr>
      </w:pPr>
      <w:bookmarkStart w:id="8" w:name="_Toc25214"/>
      <w:r>
        <w:rPr>
          <w:rFonts w:hint="eastAsia"/>
          <w:lang w:val="en-US" w:eastAsia="zh-CN"/>
        </w:rPr>
        <w:t>工作流首页</w:t>
      </w:r>
      <w:bookmarkEnd w:id="8"/>
    </w:p>
    <w:p w14:paraId="51A1304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工作流导航栏可进入审批流，可以分别设置审批流和审批角色，如图3-1所示。</w:t>
      </w:r>
    </w:p>
    <w:p w14:paraId="14A2F31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首页导航栏</w:t>
      </w:r>
    </w:p>
    <w:p w14:paraId="7EE97D56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407160"/>
            <wp:effectExtent l="0" t="0" r="6985" b="2540"/>
            <wp:docPr id="3" name="图片 3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首页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4FEA">
      <w:pPr>
        <w:pStyle w:val="31"/>
        <w:bidi w:val="0"/>
        <w:rPr>
          <w:rFonts w:hint="eastAsia"/>
          <w:lang w:val="en-US" w:eastAsia="zh-CN"/>
        </w:rPr>
      </w:pPr>
      <w:bookmarkStart w:id="9" w:name="_Toc24815"/>
      <w:r>
        <w:rPr>
          <w:rFonts w:hint="eastAsia"/>
          <w:lang w:val="en-US" w:eastAsia="zh-CN"/>
        </w:rPr>
        <w:t>新增审批流</w:t>
      </w:r>
      <w:bookmarkEnd w:id="9"/>
    </w:p>
    <w:p w14:paraId="79B5F80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进入到审批页面后，可以通过创建审批流按钮来新增审批流程，如图3-2所示。也可以修改已经创建的审批流。</w:t>
      </w:r>
    </w:p>
    <w:p w14:paraId="352EC559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新增审批流</w:t>
      </w:r>
    </w:p>
    <w:p w14:paraId="2501A7F9">
      <w:pPr>
        <w:pStyle w:val="29"/>
      </w:pPr>
      <w:r>
        <w:drawing>
          <wp:inline distT="0" distB="0" distL="114300" distR="114300">
            <wp:extent cx="4742815" cy="2957830"/>
            <wp:effectExtent l="0" t="0" r="63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6DC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在新增审批流时，必须要填写审批流名称，完善功能，使得可以绑定工作流，如图3-3所示</w:t>
      </w:r>
    </w:p>
    <w:p w14:paraId="47F98B5F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填写审批流信息</w:t>
      </w:r>
    </w:p>
    <w:p w14:paraId="5DBD6361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4261485" cy="2675890"/>
            <wp:effectExtent l="0" t="0" r="571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F98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审批流列表，可以查看更新增的审批流，如图3-4所示</w:t>
      </w:r>
    </w:p>
    <w:p w14:paraId="004087E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审批流列表</w:t>
      </w:r>
    </w:p>
    <w:p w14:paraId="061AA1DB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076960"/>
            <wp:effectExtent l="0" t="0" r="8890" b="8890"/>
            <wp:docPr id="7" name="图片 7" descr="审批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审批流列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E522">
      <w:pPr>
        <w:pStyle w:val="31"/>
        <w:bidi w:val="0"/>
        <w:rPr>
          <w:rFonts w:hint="eastAsia"/>
          <w:lang w:val="en-US" w:eastAsia="zh-CN"/>
        </w:rPr>
      </w:pPr>
      <w:bookmarkStart w:id="10" w:name="_Toc8074"/>
      <w:r>
        <w:rPr>
          <w:rFonts w:hint="eastAsia"/>
          <w:lang w:val="en-US" w:eastAsia="zh-CN"/>
        </w:rPr>
        <w:t>设计审批流</w:t>
      </w:r>
      <w:bookmarkEnd w:id="10"/>
    </w:p>
    <w:p w14:paraId="6460EC3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完善审批流节点，审批流各个节点支持自定义设计，如图3-5为抄送人设置</w:t>
      </w:r>
    </w:p>
    <w:p w14:paraId="1C8C728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审批抄送人选择</w:t>
      </w:r>
    </w:p>
    <w:p w14:paraId="1DC5BEB5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2456180" cy="2209165"/>
            <wp:effectExtent l="0" t="0" r="1270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0009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36FCDFA3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4150" cy="1304925"/>
            <wp:effectExtent l="0" t="0" r="1270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7078">
      <w:pPr>
        <w:pStyle w:val="29"/>
        <w:ind w:left="0" w:leftChars="0" w:right="0" w:rightChars="0" w:firstLine="0" w:firstLineChars="0"/>
        <w:jc w:val="center"/>
      </w:pPr>
    </w:p>
    <w:p w14:paraId="2EE527C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如果默认节点不符合现有流程，可以通过自定义节点对审批流程进行完善，如图3-6为审批节点设置</w:t>
      </w:r>
    </w:p>
    <w:p w14:paraId="3AB5537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其中包括标题、审批类型、审批人、操作权限等基础信息</w:t>
      </w:r>
    </w:p>
    <w:p w14:paraId="3B9B3F92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审批流节点设置</w:t>
      </w:r>
    </w:p>
    <w:p w14:paraId="33357C54">
      <w:pPr>
        <w:pStyle w:val="29"/>
        <w:bidi w:val="0"/>
      </w:pPr>
      <w:r>
        <w:drawing>
          <wp:inline distT="0" distB="0" distL="114300" distR="114300">
            <wp:extent cx="5265420" cy="1840865"/>
            <wp:effectExtent l="0" t="0" r="11430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3057">
      <w:pPr>
        <w:pStyle w:val="31"/>
        <w:bidi w:val="0"/>
        <w:rPr>
          <w:rFonts w:hint="eastAsia"/>
          <w:lang w:val="en-US" w:eastAsia="zh-CN"/>
        </w:rPr>
      </w:pPr>
      <w:bookmarkStart w:id="11" w:name="_Toc28130"/>
      <w:r>
        <w:rPr>
          <w:rFonts w:hint="eastAsia"/>
          <w:lang w:val="en-US" w:eastAsia="zh-CN"/>
        </w:rPr>
        <w:t>项目评审</w:t>
      </w:r>
      <w:bookmarkEnd w:id="11"/>
    </w:p>
    <w:p w14:paraId="3FD56C5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完善项目评审流程，可以对项目节点单独进行评审，如图3-7所示</w:t>
      </w:r>
    </w:p>
    <w:p w14:paraId="4728E986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项目节点评审</w:t>
      </w:r>
    </w:p>
    <w:p w14:paraId="31A3DBBA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555875"/>
            <wp:effectExtent l="0" t="0" r="6985" b="158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A4A97">
      <w:pPr>
        <w:pStyle w:val="31"/>
        <w:bidi w:val="0"/>
        <w:rPr>
          <w:rFonts w:hint="eastAsia"/>
          <w:lang w:val="en-US" w:eastAsia="zh-CN"/>
        </w:rPr>
      </w:pPr>
      <w:bookmarkStart w:id="12" w:name="_Toc31890"/>
      <w:r>
        <w:rPr>
          <w:rFonts w:hint="eastAsia"/>
          <w:lang w:val="en-US" w:eastAsia="zh-CN"/>
        </w:rPr>
        <w:t>评审进度</w:t>
      </w:r>
      <w:bookmarkEnd w:id="12"/>
    </w:p>
    <w:p w14:paraId="6EF2FF5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支持项目节点评审进度查看，如图3-8所示</w:t>
      </w:r>
    </w:p>
    <w:p w14:paraId="077AA044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项目评审进度</w:t>
      </w:r>
    </w:p>
    <w:p w14:paraId="07ED90D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2009775"/>
            <wp:effectExtent l="0" t="0" r="9525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1B9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5835" cy="2887345"/>
            <wp:effectExtent l="0" t="0" r="5715" b="8255"/>
            <wp:docPr id="14" name="图片 14" descr="审批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审批流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32C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待评审列表可以用于查看所有待我审批的工作流，支持权限控制，如图3-9所示</w:t>
      </w:r>
    </w:p>
    <w:p w14:paraId="1274ACEF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待评审列表</w:t>
      </w:r>
    </w:p>
    <w:p w14:paraId="259CBB48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631950"/>
            <wp:effectExtent l="0" t="0" r="7620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3E4D">
      <w:pPr>
        <w:pStyle w:val="30"/>
        <w:bidi w:val="0"/>
        <w:rPr>
          <w:rFonts w:hint="default"/>
          <w:lang w:val="en-US" w:eastAsia="zh-CN"/>
        </w:rPr>
      </w:pPr>
      <w:bookmarkStart w:id="13" w:name="_Toc23243"/>
      <w:r>
        <w:rPr>
          <w:rFonts w:hint="default"/>
          <w:lang w:val="en-US" w:eastAsia="zh-CN"/>
        </w:rPr>
        <w:t>研发团队</w:t>
      </w:r>
      <w:bookmarkEnd w:id="13"/>
    </w:p>
    <w:p w14:paraId="2C647FD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公司实际情况，为保质保量的完成运维工具研发工作，根据研发计划配置人员如下：研发部3人，其中研发部部长1名，开发工程师1名，需求分析师1名，质量部部长1名，运维项目部长1名，各岗及时到位，为研发工作的有序开展提供了有力保障。运维工具研发团队人员配置信息如表3-1所示</w:t>
      </w:r>
    </w:p>
    <w:p w14:paraId="601900BB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21"/>
        <w:tblW w:w="8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746"/>
        <w:gridCol w:w="4948"/>
      </w:tblGrid>
      <w:tr w14:paraId="08F7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8E6A7F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746" w:type="dxa"/>
          </w:tcPr>
          <w:p w14:paraId="6D2A9B5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4948" w:type="dxa"/>
          </w:tcPr>
          <w:p w14:paraId="51A222CE">
            <w:pPr>
              <w:pStyle w:val="29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 w14:paraId="4823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42AF34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研发部部长</w:t>
            </w:r>
          </w:p>
        </w:tc>
        <w:tc>
          <w:tcPr>
            <w:tcW w:w="1746" w:type="dxa"/>
          </w:tcPr>
          <w:p w14:paraId="393642A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4948" w:type="dxa"/>
          </w:tcPr>
          <w:p w14:paraId="0364215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 w14:paraId="09B1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58AB7F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746" w:type="dxa"/>
          </w:tcPr>
          <w:p w14:paraId="6B8053B8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4948" w:type="dxa"/>
          </w:tcPr>
          <w:p w14:paraId="19A9DB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 w14:paraId="2A26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4E14F0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运维项目部长</w:t>
            </w:r>
          </w:p>
        </w:tc>
        <w:tc>
          <w:tcPr>
            <w:tcW w:w="1746" w:type="dxa"/>
          </w:tcPr>
          <w:p w14:paraId="3EAEC68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4948" w:type="dxa"/>
          </w:tcPr>
          <w:p w14:paraId="688DB10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 w14:paraId="1E2B6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9135EA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质量部部长</w:t>
            </w:r>
          </w:p>
        </w:tc>
        <w:tc>
          <w:tcPr>
            <w:tcW w:w="1746" w:type="dxa"/>
          </w:tcPr>
          <w:p w14:paraId="5DE773B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4948" w:type="dxa"/>
          </w:tcPr>
          <w:p w14:paraId="29BF6F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 w14:paraId="11997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3B45A0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746" w:type="dxa"/>
          </w:tcPr>
          <w:p w14:paraId="26C5794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4948" w:type="dxa"/>
          </w:tcPr>
          <w:p w14:paraId="42AD35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 w14:paraId="5411CD25">
      <w:pPr>
        <w:pStyle w:val="30"/>
        <w:bidi w:val="0"/>
        <w:rPr>
          <w:rFonts w:hint="default"/>
          <w:lang w:val="en-US" w:eastAsia="zh-CN"/>
        </w:rPr>
      </w:pPr>
      <w:bookmarkStart w:id="14" w:name="_Toc31474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14"/>
    </w:p>
    <w:p w14:paraId="4B2987A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 w14:paraId="12E91C4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根据研发计划，按时、到位完成开发环境与生产环境部署。各环境完成情况如表3-2所示。</w:t>
      </w:r>
    </w:p>
    <w:p w14:paraId="49B0C576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环境需求到位表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024"/>
        <w:gridCol w:w="1650"/>
        <w:gridCol w:w="2037"/>
        <w:gridCol w:w="2037"/>
      </w:tblGrid>
      <w:tr w14:paraId="7FE8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7CA37AF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24" w:type="dxa"/>
          </w:tcPr>
          <w:p w14:paraId="20C0539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650" w:type="dxa"/>
          </w:tcPr>
          <w:p w14:paraId="36E4FA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037" w:type="dxa"/>
          </w:tcPr>
          <w:p w14:paraId="00AACE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  <w:tc>
          <w:tcPr>
            <w:tcW w:w="2037" w:type="dxa"/>
          </w:tcPr>
          <w:p w14:paraId="675EDD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完成时间</w:t>
            </w:r>
          </w:p>
        </w:tc>
      </w:tr>
      <w:tr w14:paraId="00251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3AF0590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24" w:type="dxa"/>
          </w:tcPr>
          <w:p w14:paraId="4DD1CCC3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0283595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037" w:type="dxa"/>
          </w:tcPr>
          <w:p w14:paraId="7A5F0F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  <w:tc>
          <w:tcPr>
            <w:tcW w:w="2037" w:type="dxa"/>
          </w:tcPr>
          <w:p w14:paraId="7B581D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</w:tr>
      <w:tr w14:paraId="5B45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716A3B5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24" w:type="dxa"/>
          </w:tcPr>
          <w:p w14:paraId="74322EE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72C976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037" w:type="dxa"/>
          </w:tcPr>
          <w:p w14:paraId="04EC4FE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  <w:tc>
          <w:tcPr>
            <w:tcW w:w="2037" w:type="dxa"/>
          </w:tcPr>
          <w:p w14:paraId="504997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 w14:paraId="3621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3784D1F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24" w:type="dxa"/>
          </w:tcPr>
          <w:p w14:paraId="489BF723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21FBEE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037" w:type="dxa"/>
          </w:tcPr>
          <w:p w14:paraId="00D05A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  <w:tc>
          <w:tcPr>
            <w:tcW w:w="2037" w:type="dxa"/>
          </w:tcPr>
          <w:p w14:paraId="05C8FA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开源、可用</w:t>
            </w:r>
          </w:p>
        </w:tc>
      </w:tr>
    </w:tbl>
    <w:p w14:paraId="0E2AFF79">
      <w:pPr>
        <w:pStyle w:val="30"/>
        <w:bidi w:val="0"/>
        <w:rPr>
          <w:rFonts w:hint="default"/>
          <w:lang w:val="en-US" w:eastAsia="zh-CN"/>
        </w:rPr>
      </w:pPr>
      <w:bookmarkStart w:id="15" w:name="_Toc7419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15"/>
    </w:p>
    <w:p w14:paraId="320EE41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 w14:paraId="7D6A23F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 w14:paraId="5559E9A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研发进度表</w:t>
      </w:r>
    </w:p>
    <w:tbl>
      <w:tblPr>
        <w:tblStyle w:val="21"/>
        <w:tblW w:w="76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271"/>
        <w:gridCol w:w="2912"/>
        <w:gridCol w:w="2059"/>
      </w:tblGrid>
      <w:tr w14:paraId="2EA4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3C75C2E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271" w:type="dxa"/>
          </w:tcPr>
          <w:p w14:paraId="566A091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2912" w:type="dxa"/>
          </w:tcPr>
          <w:p w14:paraId="1AB346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059" w:type="dxa"/>
          </w:tcPr>
          <w:p w14:paraId="6E4B4C1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 w14:paraId="60AA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4A364B4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271" w:type="dxa"/>
          </w:tcPr>
          <w:p w14:paraId="1BCABBB3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2912" w:type="dxa"/>
          </w:tcPr>
          <w:p w14:paraId="16CFE1B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  <w:tc>
          <w:tcPr>
            <w:tcW w:w="2059" w:type="dxa"/>
            <w:vAlign w:val="center"/>
          </w:tcPr>
          <w:p w14:paraId="2E19DCA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956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763C6B98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271" w:type="dxa"/>
          </w:tcPr>
          <w:p w14:paraId="58D2094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2912" w:type="dxa"/>
          </w:tcPr>
          <w:p w14:paraId="3B8ABF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  <w:tc>
          <w:tcPr>
            <w:tcW w:w="2059" w:type="dxa"/>
            <w:vAlign w:val="center"/>
          </w:tcPr>
          <w:p w14:paraId="523AB95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0C3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745EE36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271" w:type="dxa"/>
          </w:tcPr>
          <w:p w14:paraId="5EB40A4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 w14:paraId="12281E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  <w:tc>
          <w:tcPr>
            <w:tcW w:w="2059" w:type="dxa"/>
            <w:vAlign w:val="center"/>
          </w:tcPr>
          <w:p w14:paraId="79F58EC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8AB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34FD3D5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271" w:type="dxa"/>
          </w:tcPr>
          <w:p w14:paraId="31A6C55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 w14:paraId="41505E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  <w:tc>
          <w:tcPr>
            <w:tcW w:w="2059" w:type="dxa"/>
            <w:vAlign w:val="center"/>
          </w:tcPr>
          <w:p w14:paraId="0D21940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F45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3C7EAE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271" w:type="dxa"/>
          </w:tcPr>
          <w:p w14:paraId="0F00A9D8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912" w:type="dxa"/>
          </w:tcPr>
          <w:p w14:paraId="056EDB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研发部对系统进行完售后正式上线</w:t>
            </w:r>
          </w:p>
        </w:tc>
        <w:tc>
          <w:tcPr>
            <w:tcW w:w="2059" w:type="dxa"/>
            <w:vAlign w:val="center"/>
          </w:tcPr>
          <w:p w14:paraId="4DB5643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42EFD163">
      <w:pPr>
        <w:pStyle w:val="28"/>
        <w:bidi w:val="0"/>
        <w:rPr>
          <w:rFonts w:hint="default"/>
          <w:lang w:val="en-US" w:eastAsia="zh-CN"/>
        </w:rPr>
      </w:pPr>
      <w:bookmarkStart w:id="16" w:name="_Toc22160"/>
      <w:r>
        <w:rPr>
          <w:rFonts w:hint="eastAsia"/>
          <w:lang w:val="en-US" w:eastAsia="zh-CN"/>
        </w:rPr>
        <w:t>运维服务手册研发成果</w:t>
      </w:r>
      <w:bookmarkEnd w:id="16"/>
    </w:p>
    <w:p w14:paraId="7EF3EF28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本次规划的手册研发任务已全部按期完成。我们成功编撰并发布了三个核心领域的标准化手册，形成了公司第一代运维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知识的骨干内容。这些手册已正式投入日常使用，并在团队培训与技术实践中发挥了重要作用。</w:t>
      </w:r>
      <w:r>
        <w:rPr>
          <w:rFonts w:hint="eastAsia"/>
          <w:lang w:val="en-US" w:eastAsia="zh-CN"/>
        </w:rPr>
        <w:t>运维手册完成情况如表4-1所示</w:t>
      </w:r>
    </w:p>
    <w:p w14:paraId="6F617D32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3266"/>
        <w:gridCol w:w="1665"/>
        <w:gridCol w:w="1665"/>
      </w:tblGrid>
      <w:tr w14:paraId="140FC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78A8D265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266" w:type="dxa"/>
          </w:tcPr>
          <w:p w14:paraId="0E2559FB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1665" w:type="dxa"/>
          </w:tcPr>
          <w:p w14:paraId="45088F55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665" w:type="dxa"/>
            <w:shd w:val="clear" w:color="auto" w:fill="auto"/>
          </w:tcPr>
          <w:p w14:paraId="5AD18BD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 w14:paraId="0FDB1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4FDCDA19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131D1AC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1665" w:type="dxa"/>
          </w:tcPr>
          <w:p w14:paraId="34BCFA52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D9D76C8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1E5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4770F7F2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0C9EF15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1665" w:type="dxa"/>
          </w:tcPr>
          <w:p w14:paraId="5B7815E2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A12427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3B4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3EDF4B69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2A26452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1665" w:type="dxa"/>
          </w:tcPr>
          <w:p w14:paraId="1E643D9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AEE4D0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4F3AC54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研发手册如图所示：</w:t>
      </w:r>
    </w:p>
    <w:p w14:paraId="3EBED3F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</w:t>
      </w:r>
    </w:p>
    <w:p w14:paraId="46BED6B5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30683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A0C7">
      <w:pPr>
        <w:pStyle w:val="28"/>
        <w:bidi w:val="0"/>
        <w:rPr>
          <w:rFonts w:hint="default"/>
          <w:lang w:val="en-US" w:eastAsia="zh-CN"/>
        </w:rPr>
      </w:pPr>
      <w:bookmarkStart w:id="17" w:name="_Toc5426"/>
      <w:r>
        <w:rPr>
          <w:rFonts w:hint="eastAsia"/>
          <w:lang w:val="en-US" w:eastAsia="zh-CN"/>
        </w:rPr>
        <w:t>研发经费</w:t>
      </w:r>
      <w:bookmarkEnd w:id="17"/>
    </w:p>
    <w:p w14:paraId="257F5598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 w14:paraId="7C87DF6F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项目经费使用表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 w14:paraId="103B5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0A3F310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 w14:paraId="3C9F9147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 w14:paraId="32B20C5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 w14:paraId="49AD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445B66C2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4DEE936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 w14:paraId="6203D588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2C76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770D2C8A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305B371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 w14:paraId="29B23C4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 w14:paraId="7089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42E12DF6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7D112DB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 w14:paraId="1C93C672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 w14:paraId="13DF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564F1A2F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73ACBD3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 w14:paraId="7B60C77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 w14:paraId="089F7398">
      <w:pPr>
        <w:pStyle w:val="28"/>
        <w:bidi w:val="0"/>
        <w:rPr>
          <w:rFonts w:hint="default"/>
          <w:lang w:val="en-US" w:eastAsia="zh-CN"/>
        </w:rPr>
      </w:pPr>
      <w:bookmarkStart w:id="18" w:name="_Toc30682"/>
      <w:r>
        <w:rPr>
          <w:rFonts w:hint="eastAsia"/>
          <w:lang w:val="en-US" w:eastAsia="zh-CN"/>
        </w:rPr>
        <w:t>新技术研发</w:t>
      </w:r>
      <w:bookmarkEnd w:id="18"/>
    </w:p>
    <w:p w14:paraId="57E6118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截至目前，新技术预研工作已按计划完成第一阶段的核心任务，成功搭建了AIOps原型演示环境，并在智能告警收敛这一关键能力上实现了概念验证，验证了其与现有禅道流程平台集成的技术可行性。</w:t>
      </w:r>
    </w:p>
    <w:p w14:paraId="207FBC1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引擎：开发并验证了告警关联分析算法。该引擎能够将监控系统上报的海量、重复的告警事件，根据业务拓扑、时间窗口和故障传播路径进行智能聚合，成功将模拟的告警风暴事件数量压缩了85%以上，精准定位到少数几个根源事件。</w:t>
      </w:r>
    </w:p>
    <w:p w14:paraId="2278F894">
      <w:pPr>
        <w:pStyle w:val="28"/>
        <w:bidi w:val="0"/>
        <w:rPr>
          <w:rFonts w:hint="default"/>
          <w:lang w:val="en-US" w:eastAsia="zh-CN"/>
        </w:rPr>
      </w:pPr>
      <w:bookmarkStart w:id="19" w:name="_Toc4648"/>
      <w:r>
        <w:rPr>
          <w:rFonts w:hint="eastAsia"/>
          <w:lang w:val="en-US" w:eastAsia="zh-CN"/>
        </w:rPr>
        <w:t>研发成果应用情况</w:t>
      </w:r>
      <w:bookmarkEnd w:id="19"/>
    </w:p>
    <w:p w14:paraId="69EAD4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禅道审批流引擎自2025年11月正式上线以来，已全面应用于公司运维服务相关的各类审批场景，覆盖了变更管理、资源申请、预算批复、项目评审等核心业务流程。</w:t>
      </w:r>
    </w:p>
    <w:p w14:paraId="4C9CC1E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用层面，审批流引擎已在中国广电重庆BOSS系统存储维保项目中投入使用。各项目在系统变更、资源调配等关键环节均通过禅道审批流进行线上流转与归档，确保了服务过程的规范性和可追溯性。通过系统的自动流转和通知机制，跨部门审批协作效率显著提升，审批环节的平均处理时间由原来的数天缩短至数小时以内。</w:t>
      </w:r>
      <w:bookmarkStart w:id="20" w:name="_GoBack"/>
      <w:bookmarkEnd w:id="20"/>
      <w:r>
        <w:rPr>
          <w:rFonts w:hint="default"/>
          <w:lang w:val="en-US" w:eastAsia="zh-CN"/>
        </w:rPr>
      </w:r>
    </w:p>
    <w:p w14:paraId="7CB13F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审批流引擎还支持按项目、按部门进行审批数据的分类统计与分析，为管理层提供了清晰的过程数据视图，便于及时发现流程瓶颈并进行针对性优化。截至目前，系统已稳定运行，累计处理各类审批事项80余项，未发生因审批流程导致的合规风险或服务延误事件。</w:t>
      </w:r>
    </w:p>
    <w:p w14:paraId="74F4A5D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总体来看，该研发成果已有效融入公司日常运维服务体系，成为支撑ITSS三级认证落地的重要工具，也为后续运维服务过程的持续改进提供了数字化平台基础。</w:t>
      </w:r>
    </w:p>
    <w:sectPr>
      <w:headerReference r:id="rId5" w:type="default"/>
      <w:footerReference w:type="default" r:id="rId23"/>
      <w:headerReference w:type="first" r:id="rId24"/>
      <w:footerReference w:type="first" r:id="rId25"/>
      <w:headerReference w:type="even" r:id="rId26"/>
      <w:footerReference w:type="even" r:id="rId27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B533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717803"/>
    <w:rsid w:val="18213533"/>
    <w:rsid w:val="1F175073"/>
    <w:rsid w:val="26812549"/>
    <w:rsid w:val="52224331"/>
    <w:rsid w:val="613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footer" Target="footer1.xml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header" Target="header3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2125</Words>
  <Characters>2385</Characters>
  <Lines>0</Lines>
  <Paragraphs>0</Paragraphs>
  <TotalTime>0</TotalTime>
  <ScaleCrop>false</ScaleCrop>
  <LinksUpToDate>false</LinksUpToDate>
  <CharactersWithSpaces>2486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2026-05-26T14:47:36Z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