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5774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2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5310D46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753"/>
      <w:r>
        <w:rPr>
          <w:rFonts w:hint="eastAsia"/>
          <w:lang w:val="en-US" w:eastAsia="zh-CN"/>
        </w:rPr>
        <w:t>2026年度运维服务技术研发规划</w:t>
      </w:r>
      <w:bookmarkEnd w:id="1"/>
    </w:p>
    <w:p w14:paraId="45ECE5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文件编号：ZGS-07-04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1652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BB16D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1D6609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35B0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511BD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8EFF4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3" w:name="_GoBack"/>
            <w:bookmarkEnd w:id="23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39FE1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423E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批准人:刘霞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7BD8D7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 w14:paraId="1BA472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6E23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EFA1D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29489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F86CE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61800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56843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AF22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F21F2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 w14:paraId="6AE106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7E9FB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8A82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刘霞</w:t>
            </w:r>
          </w:p>
        </w:tc>
      </w:tr>
      <w:tr w14:paraId="707037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94AE2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191E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2FCAB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ACBDD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DB5A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EBE12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8BFD8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D5AB6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88AA7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E4FF0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76D58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F43E5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F015B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2FD1B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A5EA0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4BB555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6EBE26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22B1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2026年度运维服务技术研发规划</w:t>
          </w:r>
          <w:r>
            <w:tab/>
          </w:r>
          <w:r>
            <w:fldChar w:fldCharType="begin"/>
          </w:r>
          <w:r>
            <w:instrText xml:space="preserve"> PAGEREF _Toc12753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D09C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_Toc29612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B252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_Toc23668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20FA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2025年技术研发工作回顾</w:t>
          </w:r>
          <w:r>
            <w:tab/>
          </w:r>
          <w:r>
            <w:fldChar w:fldCharType="begin"/>
          </w:r>
          <w:r>
            <w:instrText xml:space="preserve"> PAGEREF _Toc29183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3A127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2025年主要成果</w:t>
          </w:r>
          <w:r>
            <w:tab/>
          </w:r>
          <w:r>
            <w:fldChar w:fldCharType="begin"/>
          </w:r>
          <w:r>
            <w:instrText xml:space="preserve"> PAGEREF _Toc28903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4F01B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2025年存在的主要问题</w:t>
          </w:r>
          <w:r>
            <w:tab/>
          </w:r>
          <w:r>
            <w:fldChar w:fldCharType="begin"/>
          </w:r>
          <w:r>
            <w:instrText xml:space="preserve"> PAGEREF _Toc26625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D98C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2026年技术研发目标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6B19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2026年主要技术研发项目</w:t>
          </w:r>
          <w:r>
            <w:tab/>
          </w:r>
          <w:r>
            <w:fldChar w:fldCharType="begin"/>
          </w:r>
          <w:r>
            <w:instrText xml:space="preserve"> PAGEREF _Toc30323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9CAF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运维工具优化与自动化提升</w:t>
          </w:r>
          <w:r>
            <w:tab/>
          </w:r>
          <w:r>
            <w:fldChar w:fldCharType="begin"/>
          </w:r>
          <w:r>
            <w:instrText xml:space="preserve"> PAGEREF _Toc22077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C6585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备份恢复自动化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5E09E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监控阈值智能优化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906F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运维手册研发</w:t>
          </w:r>
          <w:r>
            <w:tab/>
          </w:r>
          <w:r>
            <w:fldChar w:fldCharType="begin"/>
          </w:r>
          <w:r>
            <w:instrText xml:space="preserve"> PAGEREF _Toc22107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56C1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5.2.1. 2026年运维手册计划</w:t>
          </w:r>
          <w:r>
            <w:tab/>
          </w:r>
          <w:r>
            <w:fldChar w:fldCharType="begin"/>
          </w:r>
          <w:r>
            <w:instrText xml:space="preserve"> PAGEREF _Toc19728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AB89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新技术研发</w:t>
          </w:r>
          <w:r>
            <w:tab/>
          </w:r>
          <w:r>
            <w:fldChar w:fldCharType="begin"/>
          </w:r>
          <w:r>
            <w:instrText xml:space="preserve"> PAGEREF _Toc4180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B39E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5.3.1. AIOps智能运维深化</w:t>
          </w:r>
          <w:r>
            <w:tab/>
          </w:r>
          <w:r>
            <w:fldChar w:fldCharType="begin"/>
          </w:r>
          <w:r>
            <w:instrText xml:space="preserve"> PAGEREF _Toc5907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34CC8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5.3.2. 第三方组件供应链安全管理</w:t>
          </w:r>
          <w:r>
            <w:tab/>
          </w:r>
          <w:r>
            <w:fldChar w:fldCharType="begin"/>
          </w:r>
          <w:r>
            <w:instrText xml:space="preserve"> PAGEREF _Toc32039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26B6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研发成果应用推广</w:t>
          </w:r>
          <w:r>
            <w:tab/>
          </w:r>
          <w:r>
            <w:fldChar w:fldCharType="begin"/>
          </w:r>
          <w:r>
            <w:instrText xml:space="preserve"> PAGEREF _Toc22566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1C611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研发团队与资源配置</w:t>
          </w:r>
          <w:r>
            <w:tab/>
          </w:r>
          <w:r>
            <w:fldChar w:fldCharType="begin"/>
          </w:r>
          <w:r>
            <w:instrText xml:space="preserve"> PAGEREF _Toc27366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14DC1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研发团队构成</w:t>
          </w:r>
          <w:r>
            <w:tab/>
          </w:r>
          <w:r>
            <w:fldChar w:fldCharType="begin"/>
          </w:r>
          <w:r>
            <w:instrText xml:space="preserve"> PAGEREF _Toc9506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B028F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研发环境配置</w:t>
          </w:r>
          <w:r>
            <w:tab/>
          </w:r>
          <w:r>
            <w:fldChar w:fldCharType="begin"/>
          </w:r>
          <w:r>
            <w:instrText xml:space="preserve"> PAGEREF _Toc17894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26E00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研发经费预算</w:t>
          </w:r>
          <w:r>
            <w:tab/>
          </w:r>
          <w:r>
            <w:fldChar w:fldCharType="begin"/>
          </w:r>
          <w:r>
            <w:instrText xml:space="preserve"> PAGEREF _Toc16481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85FCB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附件</w:t>
          </w:r>
          <w:r>
            <w:tab/>
          </w:r>
          <w:r>
            <w:fldChar w:fldCharType="begin"/>
          </w:r>
          <w:r>
            <w:instrText xml:space="preserve"> PAGEREF _Toc6417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686AE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A5137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9D4161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9612"/>
      <w:r>
        <w:rPr>
          <w:rFonts w:hint="default"/>
          <w:lang w:val="en-US" w:eastAsia="zh-CN"/>
        </w:rPr>
        <w:t>计划目的</w:t>
      </w:r>
      <w:bookmarkEnd w:id="2"/>
    </w:p>
    <w:p w14:paraId="666E3A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提升公司运维服务的技术支撑能力，深化ITSS运维服务能力成熟度三级成果，推动运维服务从“被动响应”向“主动预防”演进，依据2025年技术研发工作总结与改进经验，结合运维业务实际需求，特制定本计划。</w:t>
      </w:r>
    </w:p>
    <w:p w14:paraId="6D8050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本计划旨在通过系统性的技术研发活动，优化运维工具链、固化服务知识、提升自动化水平，为运维服务的高效交付与持续改进提供坚实的技术保障。</w:t>
      </w:r>
    </w:p>
    <w:p w14:paraId="6BB6AB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3668"/>
      <w:r>
        <w:rPr>
          <w:rFonts w:hint="default"/>
          <w:lang w:val="en-US" w:eastAsia="zh-CN"/>
        </w:rPr>
        <w:t>适用范围</w:t>
      </w:r>
      <w:bookmarkEnd w:id="3"/>
    </w:p>
    <w:p w14:paraId="51ADB7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本计划适用于公司研发部、运维部及相关参与技术研发活动的部门，管理范围涵盖运维工具二次开发、运维手册编撰、新技术预研及技术成果应用。</w:t>
      </w:r>
    </w:p>
    <w:p w14:paraId="28C0B92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9183"/>
      <w:r>
        <w:rPr>
          <w:rFonts w:hint="default"/>
          <w:lang w:val="en-US" w:eastAsia="zh-CN"/>
        </w:rPr>
        <w:t>2025年技术研发工作回顾</w:t>
      </w:r>
      <w:bookmarkEnd w:id="4"/>
    </w:p>
    <w:p w14:paraId="517AC05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903"/>
      <w:r>
        <w:rPr>
          <w:rFonts w:hint="default"/>
          <w:lang w:val="en-US" w:eastAsia="zh-CN"/>
        </w:rPr>
        <w:t>2025年主要成果</w:t>
      </w:r>
      <w:bookmarkEnd w:id="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1"/>
        <w:gridCol w:w="5384"/>
        <w:gridCol w:w="987"/>
      </w:tblGrid>
      <w:tr w14:paraId="2F1F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F1E9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53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993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2025年完成情况</w:t>
            </w:r>
          </w:p>
        </w:tc>
        <w:tc>
          <w:tcPr>
            <w:tcW w:w="9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E35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 w14:paraId="36A41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5FA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禅道过程管理工具二次开发</w:t>
            </w:r>
          </w:p>
        </w:tc>
        <w:tc>
          <w:tcPr>
            <w:tcW w:w="5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EC4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完成审批流定制开发，已正式上线运行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E9E7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75D0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06B2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运维手册研发</w:t>
            </w:r>
          </w:p>
        </w:tc>
        <w:tc>
          <w:tcPr>
            <w:tcW w:w="5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324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Docker安装nginx、Jenkins构建java项目、Jenkins构建前端项目，共3册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9EBB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733CA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FA26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AIOps新技术预研</w:t>
            </w:r>
          </w:p>
        </w:tc>
        <w:tc>
          <w:tcPr>
            <w:tcW w:w="5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6D9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完成原型演示环境搭建，实现智能告警收敛概念验证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BDBC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2DCD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7CF1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研发资金投入</w:t>
            </w:r>
          </w:p>
        </w:tc>
        <w:tc>
          <w:tcPr>
            <w:tcW w:w="5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C85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20.3万元（预算100%）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E4C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325E6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DAA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研发团队建设</w:t>
            </w:r>
          </w:p>
        </w:tc>
        <w:tc>
          <w:tcPr>
            <w:tcW w:w="5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230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研发部3人+运维、质量协同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E624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 w14:paraId="09CCFE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6625"/>
      <w:r>
        <w:rPr>
          <w:rFonts w:hint="default"/>
          <w:lang w:val="en-US" w:eastAsia="zh-CN"/>
        </w:rPr>
        <w:t>2025年存在的主要问题</w:t>
      </w:r>
      <w:bookmarkEnd w:id="6"/>
    </w:p>
    <w:p w14:paraId="39F879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备份恢复脚本部分操作依赖手工命令：影响恢复效率，需要实现一键化自动化。</w:t>
      </w:r>
    </w:p>
    <w:p w14:paraId="3B4FA5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第三方组件供应链安全管理待加强：个别开源组件版本略旧，存在潜在低危漏洞。</w:t>
      </w:r>
    </w:p>
    <w:p w14:paraId="175366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安全日志深度分析能力不足：难以主动发现隐蔽的威胁和内部风险。</w:t>
      </w:r>
    </w:p>
    <w:p w14:paraId="3F84B3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研发成果应用推广不足：部分研发成果未充分在运维实践中应用。</w:t>
      </w:r>
    </w:p>
    <w:p w14:paraId="6BB069D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0460"/>
      <w:r>
        <w:rPr>
          <w:rFonts w:hint="default"/>
          <w:lang w:val="en-US" w:eastAsia="zh-CN"/>
        </w:rPr>
        <w:t>2026年技术研发目标</w:t>
      </w:r>
      <w:bookmarkEnd w:id="7"/>
    </w:p>
    <w:p w14:paraId="2DEBC8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自动化提升：实现备份恢复、日常巡检等重复性工作的自动化，提升运维效率30%以上。</w:t>
      </w:r>
    </w:p>
    <w:p w14:paraId="75881E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安全加固：完善第三方组件供应链管理，建立软件物料清单（SBOM），修复已知漏洞。</w:t>
      </w:r>
    </w:p>
    <w:p w14:paraId="0F45B4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智能运维深化：完成AIOps原型从概念验证到试点应用，实现智能告警收敛与自动化故障处理。</w:t>
      </w:r>
    </w:p>
    <w:p w14:paraId="4FE24D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知识固化：完成核心运维场景的标准化手册编撰，形成可复用的技术资产。</w:t>
      </w:r>
    </w:p>
    <w:p w14:paraId="2962CE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技术储备：跟踪行业前沿技术，为下一阶段智能化运维做好技术储备。</w:t>
      </w:r>
    </w:p>
    <w:p w14:paraId="5A3DB06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323"/>
      <w:r>
        <w:rPr>
          <w:rFonts w:hint="default"/>
          <w:lang w:val="en-US" w:eastAsia="zh-CN"/>
        </w:rPr>
        <w:t>2026年主要技术研发项目</w:t>
      </w:r>
      <w:bookmarkEnd w:id="8"/>
    </w:p>
    <w:p w14:paraId="05B48E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2077"/>
      <w:r>
        <w:rPr>
          <w:rFonts w:hint="default"/>
          <w:lang w:val="en-US" w:eastAsia="zh-CN"/>
        </w:rPr>
        <w:t>运维工具优化与自动化提升</w:t>
      </w:r>
      <w:bookmarkEnd w:id="9"/>
    </w:p>
    <w:p w14:paraId="4A4DD2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2850"/>
      <w:r>
        <w:rPr>
          <w:rFonts w:hint="default"/>
          <w:lang w:val="en-US" w:eastAsia="zh-CN"/>
        </w:rPr>
        <w:t>备份恢复自动化</w:t>
      </w:r>
      <w:bookmarkEnd w:id="10"/>
    </w:p>
    <w:p w14:paraId="7250FC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项目背景：2025年应急演练发现，备份恢复脚本部分操作依赖手工命令，影响恢复效率。</w:t>
      </w:r>
    </w:p>
    <w:p w14:paraId="0B52A4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 w14:paraId="3A3C50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实现数据库备份恢复的一键化操作</w:t>
      </w:r>
    </w:p>
    <w:p w14:paraId="016E13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增加备份完整性自动校验功能</w:t>
      </w:r>
    </w:p>
    <w:p w14:paraId="07ABCE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优化备份脚本，支持异地备份同步</w:t>
      </w:r>
    </w:p>
    <w:p w14:paraId="3F5E84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070"/>
        <w:gridCol w:w="5078"/>
      </w:tblGrid>
      <w:tr w14:paraId="3508F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D77C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E4D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95E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 w14:paraId="0C704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C6E6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584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2CD7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</w:tr>
      <w:tr w14:paraId="2F07D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A9AF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7CD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3BBD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</w:tr>
      <w:tr w14:paraId="045E5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5979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3C9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2B24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</w:tr>
      <w:tr w14:paraId="220A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56C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88D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D6A4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</w:tr>
      <w:tr w14:paraId="6DE59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42A7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00F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D4FC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</w:tr>
    </w:tbl>
    <w:p w14:paraId="08A9C7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 w14:paraId="7DB2ED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一键化备份恢复脚本1套</w:t>
      </w:r>
    </w:p>
    <w:p w14:paraId="764C4B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备份完整性校验功能</w:t>
      </w:r>
    </w:p>
    <w:p w14:paraId="34B93F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备份恢复操作手册</w:t>
      </w:r>
    </w:p>
    <w:p w14:paraId="528CA2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080"/>
      <w:r>
        <w:rPr>
          <w:rFonts w:hint="default"/>
          <w:lang w:val="en-US" w:eastAsia="zh-CN"/>
        </w:rPr>
        <w:t>监控阈值智能优化</w:t>
      </w:r>
      <w:bookmarkEnd w:id="11"/>
    </w:p>
    <w:p w14:paraId="56A0FC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项目背景：2025年可用性管理报告中指出，部分监控指标的阈值设置过于宽松，可能导致潜在性能问题未能被提前预警。</w:t>
      </w:r>
    </w:p>
    <w:p w14:paraId="091FF2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 w14:paraId="483DE2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基于历史数据分析，优化监控告警阈值</w:t>
      </w:r>
    </w:p>
    <w:p w14:paraId="0D2D35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实现阈值动态调整能力</w:t>
      </w:r>
    </w:p>
    <w:p w14:paraId="20F4FE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992"/>
        <w:gridCol w:w="5027"/>
      </w:tblGrid>
      <w:tr w14:paraId="6264D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8792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12B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121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 w14:paraId="1EC9A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B437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741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2FC2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</w:tr>
      <w:tr w14:paraId="17EE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A5AE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45F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356F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</w:tr>
      <w:tr w14:paraId="4AF2F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8165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648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A5B2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</w:tr>
      <w:tr w14:paraId="5AE1B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CC93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24C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04C7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</w:tr>
    </w:tbl>
    <w:p w14:paraId="048E87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 w14:paraId="77E008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监控阈值优化方案</w:t>
      </w:r>
    </w:p>
    <w:p w14:paraId="48BD6F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告警准确率提升20%以上</w:t>
      </w:r>
    </w:p>
    <w:p w14:paraId="40B58C5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2107"/>
      <w:r>
        <w:rPr>
          <w:rFonts w:hint="default"/>
          <w:lang w:val="en-US" w:eastAsia="zh-CN"/>
        </w:rPr>
        <w:t>运维手册研发</w:t>
      </w:r>
      <w:bookmarkEnd w:id="12"/>
    </w:p>
    <w:p w14:paraId="3A8BEC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728"/>
      <w:r>
        <w:rPr>
          <w:rFonts w:hint="default"/>
          <w:lang w:val="en-US" w:eastAsia="zh-CN"/>
        </w:rPr>
        <w:t>2026年运维手册计划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3820"/>
        <w:gridCol w:w="1510"/>
        <w:gridCol w:w="1578"/>
        <w:gridCol w:w="913"/>
      </w:tblGrid>
      <w:tr w14:paraId="0D35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7828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C93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5D6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BA8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9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8FD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E46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F29A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CC4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备份与恢复操作手册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61B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E3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0F13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7CD5F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06D2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E44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Linux系统巡检与性能调优指南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C27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475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C9D1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0B5E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D8FE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FF6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应急响应标准化操作手册（SOP）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63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CA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CE2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4B609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60EC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A84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常见故障排查手册（硬件篇）</w:t>
            </w:r>
          </w:p>
        </w:tc>
        <w:tc>
          <w:tcPr>
            <w:tcW w:w="15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36F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A00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4D3D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</w:tbl>
    <w:p w14:paraId="0E3FC0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手册要求：</w:t>
      </w:r>
    </w:p>
    <w:p w14:paraId="7DFFC1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内容清晰、图文并茂</w:t>
      </w:r>
    </w:p>
    <w:p w14:paraId="72D77C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包含操作步骤、注意事项、常见问题</w:t>
      </w:r>
    </w:p>
    <w:p w14:paraId="2FBA0E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经技术评审后发布，纳入最终软件库管理</w:t>
      </w:r>
    </w:p>
    <w:p w14:paraId="434FF26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4180"/>
      <w:r>
        <w:rPr>
          <w:rFonts w:hint="default"/>
          <w:lang w:val="en-US" w:eastAsia="zh-CN"/>
        </w:rPr>
        <w:t>新技术研发</w:t>
      </w:r>
      <w:bookmarkEnd w:id="14"/>
    </w:p>
    <w:p w14:paraId="47B6C0C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907"/>
      <w:r>
        <w:rPr>
          <w:rFonts w:hint="default"/>
          <w:lang w:val="en-US" w:eastAsia="zh-CN"/>
        </w:rPr>
        <w:t>AIOps智能运维深化</w:t>
      </w:r>
      <w:bookmarkEnd w:id="15"/>
    </w:p>
    <w:p w14:paraId="1B7E5E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项目背景：2025年已完成AIOps原型演示环境搭建，实现智能告警收敛概念验证。2026年将推进至试点应用阶段。</w:t>
      </w:r>
    </w:p>
    <w:p w14:paraId="6C9A4E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 w14:paraId="42B584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将智能告警收敛功能集成至现有监控平台</w:t>
      </w:r>
    </w:p>
    <w:p w14:paraId="6BC811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开发自动化故障处理脚本，实现简单故障自愈</w:t>
      </w:r>
    </w:p>
    <w:p w14:paraId="36068B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选取典型项目进行试点应用</w:t>
      </w:r>
    </w:p>
    <w:p w14:paraId="07111C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2427"/>
        <w:gridCol w:w="4681"/>
      </w:tblGrid>
      <w:tr w14:paraId="2AFD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F039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0BD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B3D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 w14:paraId="132D3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40D4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374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46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1164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</w:tr>
      <w:tr w14:paraId="06AC0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A52E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8EB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46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2B66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</w:tr>
      <w:tr w14:paraId="01407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4134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AFD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46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EE30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</w:tr>
      <w:tr w14:paraId="11E8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2D4C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CD1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46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59DF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</w:tr>
      <w:tr w14:paraId="71D48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F339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4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973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46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DF4C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</w:tr>
    </w:tbl>
    <w:p w14:paraId="1B525B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 w14:paraId="3B142C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智能告警收敛模块1套</w:t>
      </w:r>
    </w:p>
    <w:p w14:paraId="74781C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自动化故障处理脚本3-5个</w:t>
      </w:r>
    </w:p>
    <w:p w14:paraId="149D24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试点应用评估报告</w:t>
      </w:r>
    </w:p>
    <w:p w14:paraId="3F5E32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039"/>
      <w:r>
        <w:rPr>
          <w:rFonts w:hint="default"/>
          <w:lang w:val="en-US" w:eastAsia="zh-CN"/>
        </w:rPr>
        <w:t>第三方组件供应链安全管理</w:t>
      </w:r>
      <w:bookmarkEnd w:id="16"/>
    </w:p>
    <w:p w14:paraId="40675B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项目背景：2025年信息安全报告指出，个别第三方组件版本略旧，存在潜在低危漏洞。</w:t>
      </w:r>
    </w:p>
    <w:p w14:paraId="70FC17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 w14:paraId="5BCD51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建立软件物料清单（SBOM）管理机制</w:t>
      </w:r>
    </w:p>
    <w:p w14:paraId="1FB9B7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制定第三方组件定期更新与评估流程</w:t>
      </w:r>
    </w:p>
    <w:p w14:paraId="7CDEC4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修复已知低危漏洞</w:t>
      </w:r>
    </w:p>
    <w:p w14:paraId="4F464D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148"/>
        <w:gridCol w:w="4685"/>
      </w:tblGrid>
      <w:tr w14:paraId="4B6CA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3D2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040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F18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 w14:paraId="6ACEF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9CA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09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BDF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</w:tr>
      <w:tr w14:paraId="5B0D3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F8A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5F5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3946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</w:tr>
      <w:tr w14:paraId="540EF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515F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1C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08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</w:tr>
      <w:tr w14:paraId="13793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2C5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81B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CEC3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</w:tr>
      <w:tr w14:paraId="579F8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D3A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F6D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A59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</w:tr>
    </w:tbl>
    <w:p w14:paraId="00F66D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 w14:paraId="0CD578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软件物料清单（SBOM）</w:t>
      </w:r>
    </w:p>
    <w:p w14:paraId="663E5C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《第三方组件更新与评估流程》</w:t>
      </w:r>
    </w:p>
    <w:p w14:paraId="4F8E77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漏洞修复报告</w:t>
      </w:r>
    </w:p>
    <w:p w14:paraId="3148AD6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566"/>
      <w:r>
        <w:rPr>
          <w:rFonts w:hint="default"/>
          <w:lang w:val="en-US" w:eastAsia="zh-CN"/>
        </w:rPr>
        <w:t>研发成果应用推广</w:t>
      </w:r>
      <w:bookmarkEnd w:id="17"/>
    </w:p>
    <w:p w14:paraId="0A9985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2026年重点推广：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1944"/>
        <w:gridCol w:w="1761"/>
        <w:gridCol w:w="2383"/>
      </w:tblGrid>
      <w:tr w14:paraId="01880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E3B8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A43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34A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推广时间</w:t>
            </w:r>
          </w:p>
        </w:tc>
        <w:tc>
          <w:tcPr>
            <w:tcW w:w="2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64A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预期效果</w:t>
            </w:r>
          </w:p>
        </w:tc>
      </w:tr>
      <w:tr w14:paraId="0ED4C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1AD2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禅道审批流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F03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所有运维项目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90C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AB23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流程规范化100%</w:t>
            </w:r>
          </w:p>
        </w:tc>
      </w:tr>
      <w:tr w14:paraId="04943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9F48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备份恢复自动化脚本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D3E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西安国豪项目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0B4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8723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恢复效率提升50%</w:t>
            </w:r>
          </w:p>
        </w:tc>
      </w:tr>
      <w:tr w14:paraId="2E893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E7C0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智能告警收敛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429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西安国豪项目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93F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629B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告警量压缩70%</w:t>
            </w:r>
          </w:p>
        </w:tc>
      </w:tr>
      <w:tr w14:paraId="40F45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099E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运维手册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8FB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所有运维项目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3DD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7A50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知识复用率提升30%</w:t>
            </w:r>
          </w:p>
        </w:tc>
      </w:tr>
    </w:tbl>
    <w:p w14:paraId="349752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366"/>
      <w:r>
        <w:rPr>
          <w:rFonts w:hint="default"/>
          <w:lang w:val="en-US" w:eastAsia="zh-CN"/>
        </w:rPr>
        <w:t>研发团队与资源配置</w:t>
      </w:r>
      <w:bookmarkEnd w:id="18"/>
    </w:p>
    <w:p w14:paraId="19131E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506"/>
      <w:r>
        <w:rPr>
          <w:rFonts w:hint="default"/>
          <w:lang w:val="en-US" w:eastAsia="zh-CN"/>
        </w:rPr>
        <w:t>研发团队构成</w:t>
      </w:r>
      <w:bookmarkEnd w:id="1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2"/>
        <w:gridCol w:w="1020"/>
        <w:gridCol w:w="1761"/>
        <w:gridCol w:w="3722"/>
      </w:tblGrid>
      <w:tr w14:paraId="71926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53EF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58F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A1D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7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A1E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 w14:paraId="7CF71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DFD2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研发部部长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3FD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F47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7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8872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总体规划研发进度，技术决策</w:t>
            </w:r>
          </w:p>
        </w:tc>
      </w:tr>
      <w:tr w14:paraId="1FA00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B64B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4DC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F29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7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E09E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编码、单元测试、脚本开发</w:t>
            </w:r>
          </w:p>
        </w:tc>
      </w:tr>
      <w:tr w14:paraId="46BD2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E584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A34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F4B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7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2B2F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需求收集、试用验证、反馈优化</w:t>
            </w:r>
          </w:p>
        </w:tc>
      </w:tr>
      <w:tr w14:paraId="761BA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AE01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质量部部长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55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E4F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37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C55D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跟进研发质量，测试验证</w:t>
            </w:r>
          </w:p>
        </w:tc>
      </w:tr>
      <w:tr w14:paraId="2012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C589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7A6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793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05A6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收集分析需求，编写需求文档</w:t>
            </w:r>
          </w:p>
        </w:tc>
      </w:tr>
    </w:tbl>
    <w:p w14:paraId="6E2D9C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7894"/>
      <w:r>
        <w:rPr>
          <w:rFonts w:hint="default"/>
          <w:lang w:val="en-US" w:eastAsia="zh-CN"/>
        </w:rPr>
        <w:t>研发环境配置</w:t>
      </w:r>
      <w:bookmarkEnd w:id="2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864"/>
        <w:gridCol w:w="2057"/>
        <w:gridCol w:w="1911"/>
        <w:gridCol w:w="2043"/>
      </w:tblGrid>
      <w:tr w14:paraId="39B84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EFB9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C31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139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详细配置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1B0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获取方式</w:t>
            </w:r>
          </w:p>
        </w:tc>
        <w:tc>
          <w:tcPr>
            <w:tcW w:w="20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995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0E32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8FE3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开发环境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1F6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7C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PHP+MySQL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C38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开发服务器部署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2D56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 w14:paraId="01460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8202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D53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7DA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与生产环境隔离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DBD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D105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 w14:paraId="34871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2685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生产环境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DCD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622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53D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购买云服务器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72E1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 w14:paraId="632AD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A7CD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版本控制工具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C45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0BF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Gitlab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75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开源，可用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3F0B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 w14:paraId="73082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451C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C42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01D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4核8G，GPU可选</w:t>
            </w:r>
          </w:p>
        </w:tc>
        <w:tc>
          <w:tcPr>
            <w:tcW w:w="19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5ED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8529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计划2026年2月部署</w:t>
            </w:r>
          </w:p>
        </w:tc>
      </w:tr>
    </w:tbl>
    <w:p w14:paraId="1820E45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6481"/>
      <w:r>
        <w:rPr>
          <w:rFonts w:hint="default"/>
          <w:lang w:val="en-US" w:eastAsia="zh-CN"/>
        </w:rPr>
        <w:t>研发经费预算</w:t>
      </w:r>
      <w:bookmarkEnd w:id="21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2345"/>
        <w:gridCol w:w="2087"/>
        <w:gridCol w:w="3275"/>
      </w:tblGrid>
      <w:tr w14:paraId="16943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F5FD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1DD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开支项目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B4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金额（万元）</w:t>
            </w:r>
          </w:p>
        </w:tc>
        <w:tc>
          <w:tcPr>
            <w:tcW w:w="32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173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D8D4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C624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16D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124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FFC1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研发团队薪酬、绩效</w:t>
            </w:r>
          </w:p>
        </w:tc>
      </w:tr>
      <w:tr w14:paraId="5712C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C640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546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测试与授权费用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FB6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A10E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软件测试、第三方服务</w:t>
            </w:r>
          </w:p>
        </w:tc>
      </w:tr>
      <w:tr w14:paraId="69860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1ED2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BDD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633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BCBB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AIOps测试环境、生产环境</w:t>
            </w:r>
          </w:p>
        </w:tc>
      </w:tr>
      <w:tr w14:paraId="492E2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3D7C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178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培训与咨询费用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494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77D6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新技术培训、外部咨询</w:t>
            </w:r>
          </w:p>
        </w:tc>
      </w:tr>
      <w:tr w14:paraId="31DF5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B13D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D2B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手册研发成本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E73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C585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手册编写、排版、印刷</w:t>
            </w:r>
          </w:p>
        </w:tc>
      </w:tr>
      <w:tr w14:paraId="5F279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1F13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B2A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4CF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E038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突发需求、紧急采购</w:t>
            </w:r>
          </w:p>
        </w:tc>
      </w:tr>
      <w:tr w14:paraId="29EFD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0A19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973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10F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1397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082873B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6417"/>
      <w:r>
        <w:rPr>
          <w:rFonts w:hint="default"/>
          <w:lang w:val="en-US" w:eastAsia="zh-CN"/>
        </w:rPr>
        <w:t>附件</w:t>
      </w:r>
      <w:bookmarkEnd w:id="22"/>
    </w:p>
    <w:p w14:paraId="6E1B4E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《2026年技术研发进度表》</w:t>
      </w:r>
    </w:p>
    <w:p w14:paraId="116E7C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《2026年运维手册研发计划》</w:t>
      </w:r>
    </w:p>
    <w:p w14:paraId="6B5925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《2026年研发经费明细表》</w:t>
      </w: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8991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09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601</Words>
  <Characters>757</Characters>
  <Lines>0</Lines>
  <Paragraphs>0</Paragraphs>
  <TotalTime>0</TotalTime>
  <ScaleCrop>false</ScaleCrop>
  <LinksUpToDate>false</LinksUpToDate>
  <CharactersWithSpaces>847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