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2F170C">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13901"/>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9">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重庆市鹧鸪哨信息技术有限责任公司</w:t>
      </w:r>
      <w:bookmarkEnd w:id="0"/>
    </w:p>
    <w:p w14:paraId="2DF1E149">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3066"/>
      <w:r>
        <w:rPr>
          <w:rFonts w:hint="eastAsia"/>
          <w:lang w:val="en-US" w:eastAsia="zh-CN"/>
        </w:rPr>
        <w:t>最终软件库管理制度</w:t>
      </w:r>
      <w:bookmarkEnd w:id="1"/>
    </w:p>
    <w:p w14:paraId="42B317E8">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eastAsia" w:ascii="宋体" w:hAnsi="宋体" w:eastAsia="宋体" w:cs="宋体"/>
          <w:sz w:val="24"/>
          <w:szCs w:val="24"/>
          <w:lang w:val="en-US" w:eastAsia="zh-CN"/>
        </w:rPr>
      </w:pPr>
      <w:r>
        <w:rPr>
          <w:rFonts w:ascii="宋体" w:hAnsi="宋体" w:eastAsia="宋体" w:cs="宋体"/>
          <w:b/>
          <w:bCs/>
          <w:spacing w:val="-3"/>
          <w:sz w:val="24"/>
          <w:szCs w:val="24"/>
        </w:rPr>
        <w:t>文件编号：ZGS-08-05</w:t>
      </w:r>
      <w:r>
        <w:rPr>
          <w:rFonts w:hint="eastAsia" w:ascii="宋体" w:hAnsi="宋体" w:eastAsia="宋体" w:cs="宋体"/>
          <w:b/>
          <w:bCs/>
          <w:spacing w:val="-3"/>
          <w:sz w:val="24"/>
          <w:szCs w:val="24"/>
          <w:lang w:val="en-US" w:eastAsia="zh-CN"/>
        </w:rPr>
      </w:r>
      <w:r>
        <w:rPr>
          <w:rFonts w:ascii="宋体" w:hAnsi="宋体" w:eastAsia="宋体" w:cs="宋体"/>
          <w:b/>
          <w:bCs/>
          <w:spacing w:val="-3"/>
          <w:sz w:val="24"/>
          <w:szCs w:val="24"/>
        </w:rPr>
      </w:r>
      <w:r>
        <w:rPr>
          <w:rFonts w:hint="eastAsia" w:ascii="宋体" w:hAnsi="宋体" w:cs="宋体"/>
          <w:b/>
          <w:bCs/>
          <w:spacing w:val="-3"/>
          <w:sz w:val="24"/>
          <w:szCs w:val="24"/>
          <w:lang w:val="en-US" w:eastAsia="zh-CN"/>
        </w:rPr>
      </w:r>
      <w:r>
        <w:rPr>
          <w:rFonts w:ascii="宋体" w:hAnsi="宋体" w:eastAsia="宋体" w:cs="宋体"/>
          <w:b/>
          <w:bCs/>
          <w:spacing w:val="-3"/>
          <w:sz w:val="24"/>
          <w:szCs w:val="24"/>
        </w:rPr>
      </w:r>
      <w:r>
        <w:rPr>
          <w:rFonts w:hint="eastAsia" w:ascii="宋体" w:hAnsi="宋体" w:cs="宋体"/>
          <w:b/>
          <w:bCs/>
          <w:spacing w:val="-3"/>
          <w:sz w:val="24"/>
          <w:szCs w:val="24"/>
          <w:lang w:val="en-US" w:eastAsia="zh-CN"/>
        </w:rPr>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639098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7D8D57BF">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运维部</w:t>
            </w:r>
          </w:p>
        </w:tc>
        <w:tc>
          <w:tcPr>
            <w:tcW w:w="2708" w:type="dxa"/>
          </w:tcPr>
          <w:p w14:paraId="0F37A259">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68D0CE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16FB7B9C">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51206CDE">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7EE82E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0000B368">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批准人:宋海滨</w:t>
            </w:r>
            <w:r>
              <w:rPr>
                <w:rFonts w:hint="eastAsia"/>
                <w:spacing w:val="1"/>
                <w:kern w:val="0"/>
                <w:vertAlign w:val="baseline"/>
                <w:lang w:val="en-US" w:eastAsia="zh-CN"/>
              </w:rPr>
            </w:r>
            <w:r>
              <w:rPr>
                <w:rFonts w:hint="eastAsia" w:asciiTheme="minorAscii" w:hAnsiTheme="minorAscii" w:eastAsiaTheme="minorEastAsia"/>
                <w:spacing w:val="227"/>
                <w:sz w:val="21"/>
                <w:vertAlign w:val="baseline"/>
                <w:lang w:val="en-US" w:eastAsia="zh-CN"/>
              </w:rPr>
            </w:r>
            <w:r>
              <w:rPr>
                <w:rFonts w:hint="eastAsia"/>
                <w:u w:val="single"/>
                <w:lang w:val="en-US" w:eastAsia="zh-CN"/>
              </w:rPr>
            </w:r>
          </w:p>
        </w:tc>
        <w:tc>
          <w:tcPr>
            <w:tcW w:w="2708" w:type="dxa"/>
          </w:tcPr>
          <w:p w14:paraId="43FBD041">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bl>
    <w:p w14:paraId="06EC0B30">
      <w:pPr>
        <w:keepNext w:val="0"/>
        <w:keepLines w:val="0"/>
        <w:pageBreakBefore w:val="0"/>
        <w:widowControl w:val="0"/>
        <w:kinsoku w:val="0"/>
        <w:wordWrap/>
        <w:overflowPunct/>
        <w:autoSpaceDE w:val="0"/>
        <w:autoSpaceDN w:val="0"/>
        <w:bidi w:val="0"/>
        <w:adjustRightInd w:val="0"/>
        <w:snapToGrid w:val="0"/>
        <w:textAlignment w:val="baseline"/>
      </w:pPr>
      <w:r>
        <w:br w:type="page"/>
      </w:r>
    </w:p>
    <w:p w14:paraId="0254DB0A">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713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89"/>
        <w:gridCol w:w="919"/>
        <w:gridCol w:w="2289"/>
        <w:gridCol w:w="1240"/>
      </w:tblGrid>
      <w:tr w14:paraId="7B716C7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2689" w:type="dxa"/>
          </w:tcPr>
          <w:p w14:paraId="2A61A64D">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3793D131">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310D69C7">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240" w:type="dxa"/>
          </w:tcPr>
          <w:p w14:paraId="5DA64B1B">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37C710E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2689" w:type="dxa"/>
          </w:tcPr>
          <w:p w14:paraId="2DCD2B50">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eastAsia="zh-CN"/>
              </w:rPr>
            </w:pPr>
            <w:r>
              <w:rPr>
                <w:rFonts w:ascii="宋体" w:hAnsi="宋体" w:eastAsia="宋体" w:cs="宋体"/>
                <w:spacing w:val="3"/>
                <w:position w:val="1"/>
                <w:sz w:val="20"/>
                <w:szCs w:val="20"/>
              </w:rPr>
              <w:t>2025.01.</w:t>
            </w:r>
            <w:r>
              <w:rPr>
                <w:rFonts w:hint="eastAsia" w:ascii="宋体" w:hAnsi="宋体" w:cs="宋体"/>
                <w:spacing w:val="3"/>
                <w:position w:val="1"/>
                <w:sz w:val="20"/>
                <w:szCs w:val="20"/>
                <w:lang w:val="en-US" w:eastAsia="zh-CN"/>
              </w:rPr>
              <w:t>10</w:t>
            </w:r>
          </w:p>
        </w:tc>
        <w:tc>
          <w:tcPr>
            <w:tcW w:w="919" w:type="dxa"/>
          </w:tcPr>
          <w:p w14:paraId="3D79C607">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61F17648">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新建</w:t>
            </w:r>
          </w:p>
        </w:tc>
        <w:tc>
          <w:tcPr>
            <w:tcW w:w="1240" w:type="dxa"/>
          </w:tcPr>
          <w:p w14:paraId="31BADC35">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lang w:val="en-US" w:eastAsia="zh-CN"/>
              </w:rPr>
              <w:t>宋海滨</w:t>
            </w:r>
          </w:p>
        </w:tc>
      </w:tr>
      <w:tr w14:paraId="0EC682C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079B8127">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299BBA25">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041BCA9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08F5EA1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51C377C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7DE3B34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79FB1EE5">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4D303BBE">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4C135E0C">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09CB213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2689" w:type="dxa"/>
          </w:tcPr>
          <w:p w14:paraId="70CD26C5">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4D48121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45F347D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6DDCFFFC">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1338F2C9">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28EF6D75">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68D920B6">
          <w:pPr>
            <w:pStyle w:val="16"/>
            <w:tabs>
              <w:tab w:val="right" w:leader="dot" w:pos="8306"/>
            </w:tabs>
          </w:pPr>
          <w:bookmarkStart w:id="33" w:name="_GoBack"/>
          <w:bookmarkEnd w:id="33"/>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_Toc13901 </w:instrText>
          </w:r>
          <w:r>
            <w:rPr>
              <w:rFonts w:hint="eastAsia" w:ascii="宋体" w:hAnsi="宋体" w:eastAsia="宋体" w:cs="宋体"/>
              <w:szCs w:val="24"/>
            </w:rPr>
            <w:fldChar w:fldCharType="separate"/>
          </w:r>
          <w:r>
            <w:rPr>
              <w:rFonts w:hint="eastAsia"/>
              <w:lang w:val="en-US" w:eastAsia="zh-CN"/>
            </w:rPr>
            <w:t>重庆市鹧鸪哨信息技术有限责任公司</w:t>
          </w:r>
          <w:r>
            <w:tab/>
          </w:r>
          <w:r>
            <w:fldChar w:fldCharType="begin"/>
          </w:r>
          <w:r>
            <w:instrText xml:space="preserve"> PAGEREF _Toc13901 \h </w:instrText>
          </w:r>
          <w:r>
            <w:fldChar w:fldCharType="separate"/>
          </w:r>
          <w:r>
            <w:t>1</w:t>
          </w:r>
          <w:r>
            <w:fldChar w:fldCharType="end"/>
          </w:r>
          <w:r>
            <w:rPr>
              <w:rFonts w:hint="eastAsia" w:ascii="宋体" w:hAnsi="宋体" w:eastAsia="宋体" w:cs="宋体"/>
              <w:szCs w:val="24"/>
            </w:rPr>
            <w:fldChar w:fldCharType="end"/>
          </w:r>
        </w:p>
        <w:p w14:paraId="29BF0591">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_Toc3066 </w:instrText>
          </w:r>
          <w:r>
            <w:rPr>
              <w:rFonts w:hint="eastAsia" w:ascii="宋体" w:hAnsi="宋体" w:eastAsia="宋体" w:cs="宋体"/>
              <w:szCs w:val="24"/>
            </w:rPr>
            <w:fldChar w:fldCharType="separate"/>
          </w:r>
          <w:r>
            <w:rPr>
              <w:rFonts w:hint="eastAsia"/>
              <w:lang w:val="en-US" w:eastAsia="zh-CN"/>
            </w:rPr>
            <w:t>最终软件库管理制度</w:t>
          </w:r>
          <w:r>
            <w:tab/>
          </w:r>
          <w:r>
            <w:fldChar w:fldCharType="begin"/>
          </w:r>
          <w:r>
            <w:instrText xml:space="preserve"> PAGEREF _Toc3066 \h </w:instrText>
          </w:r>
          <w:r>
            <w:fldChar w:fldCharType="separate"/>
          </w:r>
          <w:r>
            <w:t>1</w:t>
          </w:r>
          <w:r>
            <w:fldChar w:fldCharType="end"/>
          </w:r>
          <w:r>
            <w:rPr>
              <w:rFonts w:hint="eastAsia" w:ascii="宋体" w:hAnsi="宋体" w:eastAsia="宋体" w:cs="宋体"/>
              <w:szCs w:val="24"/>
            </w:rPr>
            <w:fldChar w:fldCharType="end"/>
          </w:r>
        </w:p>
        <w:p w14:paraId="2C704CD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_Toc32240 </w:instrText>
          </w:r>
          <w:r>
            <w:rPr>
              <w:rFonts w:hint="eastAsia" w:ascii="宋体" w:hAnsi="宋体" w:eastAsia="宋体" w:cs="宋体"/>
              <w:szCs w:val="24"/>
            </w:rPr>
            <w:fldChar w:fldCharType="separate"/>
          </w:r>
          <w:r>
            <w:rPr>
              <w:rFonts w:hint="default"/>
            </w:rPr>
            <w:t xml:space="preserve">1. </w:t>
          </w:r>
          <w:r>
            <w:rPr>
              <w:rFonts w:hint="eastAsia"/>
              <w:lang w:val="en-US" w:eastAsia="zh-CN"/>
            </w:rPr>
            <w:t>总则</w:t>
          </w:r>
          <w:r>
            <w:tab/>
          </w:r>
          <w:r>
            <w:fldChar w:fldCharType="begin"/>
          </w:r>
          <w:r>
            <w:instrText xml:space="preserve"> PAGEREF _Toc32240 \h </w:instrText>
          </w:r>
          <w:r>
            <w:fldChar w:fldCharType="separate"/>
          </w:r>
          <w:r>
            <w:t>5</w:t>
          </w:r>
          <w:r>
            <w:fldChar w:fldCharType="end"/>
          </w:r>
          <w:r>
            <w:rPr>
              <w:rFonts w:hint="eastAsia" w:ascii="宋体" w:hAnsi="宋体" w:eastAsia="宋体" w:cs="宋体"/>
              <w:szCs w:val="24"/>
            </w:rPr>
            <w:fldChar w:fldCharType="end"/>
          </w:r>
        </w:p>
        <w:p w14:paraId="05CD7548">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_Toc31559 </w:instrText>
          </w:r>
          <w:r>
            <w:rPr>
              <w:rFonts w:hint="eastAsia" w:ascii="宋体" w:hAnsi="宋体" w:eastAsia="宋体" w:cs="宋体"/>
              <w:szCs w:val="24"/>
            </w:rPr>
            <w:fldChar w:fldCharType="separate"/>
          </w:r>
          <w:r>
            <w:rPr>
              <w:rFonts w:hint="default"/>
              <w:lang w:val="en-US" w:eastAsia="zh-CN"/>
            </w:rPr>
            <w:t xml:space="preserve">1.1. </w:t>
          </w:r>
          <w:r>
            <w:rPr>
              <w:rFonts w:hint="eastAsia"/>
              <w:lang w:val="en-US" w:eastAsia="zh-CN"/>
            </w:rPr>
            <w:t>目的</w:t>
          </w:r>
          <w:r>
            <w:tab/>
          </w:r>
          <w:r>
            <w:fldChar w:fldCharType="begin"/>
          </w:r>
          <w:r>
            <w:instrText xml:space="preserve"> PAGEREF _Toc31559 \h </w:instrText>
          </w:r>
          <w:r>
            <w:fldChar w:fldCharType="separate"/>
          </w:r>
          <w:r>
            <w:t>5</w:t>
          </w:r>
          <w:r>
            <w:fldChar w:fldCharType="end"/>
          </w:r>
          <w:r>
            <w:rPr>
              <w:rFonts w:hint="eastAsia" w:ascii="宋体" w:hAnsi="宋体" w:eastAsia="宋体" w:cs="宋体"/>
              <w:szCs w:val="24"/>
            </w:rPr>
            <w:fldChar w:fldCharType="end"/>
          </w:r>
        </w:p>
        <w:p w14:paraId="559A7FA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_Toc17675 </w:instrText>
          </w:r>
          <w:r>
            <w:rPr>
              <w:rFonts w:hint="eastAsia" w:ascii="宋体" w:hAnsi="宋体" w:eastAsia="宋体" w:cs="宋体"/>
              <w:szCs w:val="24"/>
            </w:rPr>
            <w:fldChar w:fldCharType="separate"/>
          </w:r>
          <w:r>
            <w:rPr>
              <w:rFonts w:hint="default"/>
              <w:lang w:val="en-US" w:eastAsia="zh-CN"/>
            </w:rPr>
            <w:t xml:space="preserve">1.2. </w:t>
          </w:r>
          <w:r>
            <w:rPr>
              <w:rFonts w:hint="eastAsia"/>
              <w:lang w:val="en-US" w:eastAsia="zh-CN"/>
            </w:rPr>
            <w:t>适用范围</w:t>
          </w:r>
          <w:r>
            <w:tab/>
          </w:r>
          <w:r>
            <w:fldChar w:fldCharType="begin"/>
          </w:r>
          <w:r>
            <w:instrText xml:space="preserve"> PAGEREF _Toc17675 \h </w:instrText>
          </w:r>
          <w:r>
            <w:fldChar w:fldCharType="separate"/>
          </w:r>
          <w:r>
            <w:t>5</w:t>
          </w:r>
          <w:r>
            <w:fldChar w:fldCharType="end"/>
          </w:r>
          <w:r>
            <w:rPr>
              <w:rFonts w:hint="eastAsia" w:ascii="宋体" w:hAnsi="宋体" w:eastAsia="宋体" w:cs="宋体"/>
              <w:szCs w:val="24"/>
            </w:rPr>
            <w:fldChar w:fldCharType="end"/>
          </w:r>
        </w:p>
        <w:p w14:paraId="5C05656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_Toc12312 </w:instrText>
          </w:r>
          <w:r>
            <w:rPr>
              <w:rFonts w:hint="eastAsia" w:ascii="宋体" w:hAnsi="宋体" w:eastAsia="宋体" w:cs="宋体"/>
              <w:szCs w:val="24"/>
            </w:rPr>
            <w:fldChar w:fldCharType="separate"/>
          </w:r>
          <w:r>
            <w:rPr>
              <w:rFonts w:hint="default"/>
              <w:lang w:val="en-US" w:eastAsia="zh-CN"/>
            </w:rPr>
            <w:t xml:space="preserve">1.3. </w:t>
          </w:r>
          <w:r>
            <w:rPr>
              <w:rFonts w:hint="eastAsia"/>
              <w:lang w:val="en-US" w:eastAsia="zh-CN"/>
            </w:rPr>
            <w:t>原则</w:t>
          </w:r>
          <w:r>
            <w:tab/>
          </w:r>
          <w:r>
            <w:fldChar w:fldCharType="begin"/>
          </w:r>
          <w:r>
            <w:instrText xml:space="preserve"> PAGEREF _Toc12312 \h </w:instrText>
          </w:r>
          <w:r>
            <w:fldChar w:fldCharType="separate"/>
          </w:r>
          <w:r>
            <w:t>5</w:t>
          </w:r>
          <w:r>
            <w:fldChar w:fldCharType="end"/>
          </w:r>
          <w:r>
            <w:rPr>
              <w:rFonts w:hint="eastAsia" w:ascii="宋体" w:hAnsi="宋体" w:eastAsia="宋体" w:cs="宋体"/>
              <w:szCs w:val="24"/>
            </w:rPr>
            <w:fldChar w:fldCharType="end"/>
          </w:r>
        </w:p>
        <w:p w14:paraId="7F12B5D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_Toc11477 </w:instrText>
          </w:r>
          <w:r>
            <w:rPr>
              <w:rFonts w:hint="eastAsia" w:ascii="宋体" w:hAnsi="宋体" w:eastAsia="宋体" w:cs="宋体"/>
              <w:szCs w:val="24"/>
            </w:rPr>
            <w:fldChar w:fldCharType="separate"/>
          </w:r>
          <w:r>
            <w:rPr>
              <w:rFonts w:hint="default"/>
              <w:lang w:val="en-US" w:eastAsia="zh-CN"/>
            </w:rPr>
            <w:t xml:space="preserve">1.4. </w:t>
          </w:r>
          <w:r>
            <w:rPr>
              <w:rFonts w:hint="eastAsia"/>
              <w:lang w:val="en-US" w:eastAsia="zh-CN"/>
            </w:rPr>
            <w:t>岗位职责</w:t>
          </w:r>
          <w:r>
            <w:tab/>
          </w:r>
          <w:r>
            <w:fldChar w:fldCharType="begin"/>
          </w:r>
          <w:r>
            <w:instrText xml:space="preserve"> PAGEREF _Toc11477 \h </w:instrText>
          </w:r>
          <w:r>
            <w:fldChar w:fldCharType="separate"/>
          </w:r>
          <w:r>
            <w:t>5</w:t>
          </w:r>
          <w:r>
            <w:fldChar w:fldCharType="end"/>
          </w:r>
          <w:r>
            <w:rPr>
              <w:rFonts w:hint="eastAsia" w:ascii="宋体" w:hAnsi="宋体" w:eastAsia="宋体" w:cs="宋体"/>
              <w:szCs w:val="24"/>
            </w:rPr>
            <w:fldChar w:fldCharType="end"/>
          </w:r>
        </w:p>
        <w:p w14:paraId="604721CC">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_Toc30750 </w:instrText>
          </w:r>
          <w:r>
            <w:rPr>
              <w:rFonts w:hint="eastAsia" w:ascii="宋体" w:hAnsi="宋体" w:eastAsia="宋体" w:cs="宋体"/>
              <w:szCs w:val="24"/>
            </w:rPr>
            <w:fldChar w:fldCharType="separate"/>
          </w:r>
          <w:r>
            <w:rPr>
              <w:rFonts w:hint="default"/>
              <w:lang w:val="en-US" w:eastAsia="zh-CN"/>
            </w:rPr>
            <w:t>1.4.1. 运维部</w:t>
          </w:r>
          <w:r>
            <w:tab/>
          </w:r>
          <w:r>
            <w:fldChar w:fldCharType="begin"/>
          </w:r>
          <w:r>
            <w:instrText xml:space="preserve"> PAGEREF _Toc30750 \h </w:instrText>
          </w:r>
          <w:r>
            <w:fldChar w:fldCharType="separate"/>
          </w:r>
          <w:r>
            <w:t>5</w:t>
          </w:r>
          <w:r>
            <w:fldChar w:fldCharType="end"/>
          </w:r>
          <w:r>
            <w:rPr>
              <w:rFonts w:hint="eastAsia" w:ascii="宋体" w:hAnsi="宋体" w:eastAsia="宋体" w:cs="宋体"/>
              <w:szCs w:val="24"/>
            </w:rPr>
            <w:fldChar w:fldCharType="end"/>
          </w:r>
        </w:p>
        <w:p w14:paraId="0FE7D964">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_Toc8241 </w:instrText>
          </w:r>
          <w:r>
            <w:rPr>
              <w:rFonts w:hint="eastAsia" w:ascii="宋体" w:hAnsi="宋体" w:eastAsia="宋体" w:cs="宋体"/>
              <w:szCs w:val="24"/>
            </w:rPr>
            <w:fldChar w:fldCharType="separate"/>
          </w:r>
          <w:r>
            <w:rPr>
              <w:rFonts w:hint="default"/>
              <w:lang w:val="en-US" w:eastAsia="zh-CN"/>
            </w:rPr>
            <w:t>1.4.2. 市场部</w:t>
          </w:r>
          <w:r>
            <w:tab/>
          </w:r>
          <w:r>
            <w:fldChar w:fldCharType="begin"/>
          </w:r>
          <w:r>
            <w:instrText xml:space="preserve"> PAGEREF _Toc8241 \h </w:instrText>
          </w:r>
          <w:r>
            <w:fldChar w:fldCharType="separate"/>
          </w:r>
          <w:r>
            <w:t>6</w:t>
          </w:r>
          <w:r>
            <w:fldChar w:fldCharType="end"/>
          </w:r>
          <w:r>
            <w:rPr>
              <w:rFonts w:hint="eastAsia" w:ascii="宋体" w:hAnsi="宋体" w:eastAsia="宋体" w:cs="宋体"/>
              <w:szCs w:val="24"/>
            </w:rPr>
            <w:fldChar w:fldCharType="end"/>
          </w:r>
        </w:p>
        <w:p w14:paraId="1E4ECBAA">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_Toc24289 </w:instrText>
          </w:r>
          <w:r>
            <w:rPr>
              <w:rFonts w:hint="eastAsia" w:ascii="宋体" w:hAnsi="宋体" w:eastAsia="宋体" w:cs="宋体"/>
              <w:szCs w:val="24"/>
            </w:rPr>
            <w:fldChar w:fldCharType="separate"/>
          </w:r>
          <w:r>
            <w:rPr>
              <w:rFonts w:hint="default"/>
              <w:lang w:val="en-US" w:eastAsia="zh-CN"/>
            </w:rPr>
            <w:t>1.4.3. 数据部</w:t>
          </w:r>
          <w:r>
            <w:tab/>
          </w:r>
          <w:r>
            <w:fldChar w:fldCharType="begin"/>
          </w:r>
          <w:r>
            <w:instrText xml:space="preserve"> PAGEREF _Toc24289 \h </w:instrText>
          </w:r>
          <w:r>
            <w:fldChar w:fldCharType="separate"/>
          </w:r>
          <w:r>
            <w:t>6</w:t>
          </w:r>
          <w:r>
            <w:fldChar w:fldCharType="end"/>
          </w:r>
          <w:r>
            <w:rPr>
              <w:rFonts w:hint="eastAsia" w:ascii="宋体" w:hAnsi="宋体" w:eastAsia="宋体" w:cs="宋体"/>
              <w:szCs w:val="24"/>
            </w:rPr>
            <w:fldChar w:fldCharType="end"/>
          </w:r>
        </w:p>
        <w:p w14:paraId="4D0FBEE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_Toc16395 </w:instrText>
          </w:r>
          <w:r>
            <w:rPr>
              <w:rFonts w:hint="eastAsia" w:ascii="宋体" w:hAnsi="宋体" w:eastAsia="宋体" w:cs="宋体"/>
              <w:szCs w:val="24"/>
            </w:rPr>
            <w:fldChar w:fldCharType="separate"/>
          </w:r>
          <w:r>
            <w:rPr>
              <w:rFonts w:hint="default"/>
              <w:lang w:val="en-US" w:eastAsia="zh-CN"/>
            </w:rPr>
            <w:t>1.4.4. 研发部</w:t>
          </w:r>
          <w:r>
            <w:tab/>
          </w:r>
          <w:r>
            <w:fldChar w:fldCharType="begin"/>
          </w:r>
          <w:r>
            <w:instrText xml:space="preserve"> PAGEREF _Toc16395 \h </w:instrText>
          </w:r>
          <w:r>
            <w:fldChar w:fldCharType="separate"/>
          </w:r>
          <w:r>
            <w:t>6</w:t>
          </w:r>
          <w:r>
            <w:fldChar w:fldCharType="end"/>
          </w:r>
          <w:r>
            <w:rPr>
              <w:rFonts w:hint="eastAsia" w:ascii="宋体" w:hAnsi="宋体" w:eastAsia="宋体" w:cs="宋体"/>
              <w:szCs w:val="24"/>
            </w:rPr>
            <w:fldChar w:fldCharType="end"/>
          </w:r>
        </w:p>
        <w:p w14:paraId="2C56C5AF">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_Toc16146 </w:instrText>
          </w:r>
          <w:r>
            <w:rPr>
              <w:rFonts w:hint="eastAsia" w:ascii="宋体" w:hAnsi="宋体" w:eastAsia="宋体" w:cs="宋体"/>
              <w:szCs w:val="24"/>
            </w:rPr>
            <w:fldChar w:fldCharType="separate"/>
          </w:r>
          <w:r>
            <w:rPr>
              <w:rFonts w:hint="default"/>
              <w:lang w:val="en-US" w:eastAsia="zh-CN"/>
            </w:rPr>
            <w:t>1.4.5. 行政部</w:t>
          </w:r>
          <w:r>
            <w:tab/>
          </w:r>
          <w:r>
            <w:fldChar w:fldCharType="begin"/>
          </w:r>
          <w:r>
            <w:instrText xml:space="preserve"> PAGEREF _Toc16146 \h </w:instrText>
          </w:r>
          <w:r>
            <w:fldChar w:fldCharType="separate"/>
          </w:r>
          <w:r>
            <w:t>6</w:t>
          </w:r>
          <w:r>
            <w:fldChar w:fldCharType="end"/>
          </w:r>
          <w:r>
            <w:rPr>
              <w:rFonts w:hint="eastAsia" w:ascii="宋体" w:hAnsi="宋体" w:eastAsia="宋体" w:cs="宋体"/>
              <w:szCs w:val="24"/>
            </w:rPr>
            <w:fldChar w:fldCharType="end"/>
          </w:r>
        </w:p>
        <w:p w14:paraId="269054E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_Toc11229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引用依据</w:t>
          </w:r>
          <w:r>
            <w:tab/>
          </w:r>
          <w:r>
            <w:fldChar w:fldCharType="begin"/>
          </w:r>
          <w:r>
            <w:instrText xml:space="preserve"> PAGEREF _Toc11229 \h </w:instrText>
          </w:r>
          <w:r>
            <w:fldChar w:fldCharType="separate"/>
          </w:r>
          <w:r>
            <w:t>6</w:t>
          </w:r>
          <w:r>
            <w:fldChar w:fldCharType="end"/>
          </w:r>
          <w:r>
            <w:rPr>
              <w:rFonts w:hint="eastAsia" w:ascii="宋体" w:hAnsi="宋体" w:eastAsia="宋体" w:cs="宋体"/>
              <w:szCs w:val="24"/>
            </w:rPr>
            <w:fldChar w:fldCharType="end"/>
          </w:r>
        </w:p>
        <w:p w14:paraId="51BA73AB">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_Toc29582 </w:instrText>
          </w:r>
          <w:r>
            <w:rPr>
              <w:rFonts w:hint="eastAsia" w:ascii="宋体" w:hAnsi="宋体" w:eastAsia="宋体" w:cs="宋体"/>
              <w:szCs w:val="24"/>
            </w:rPr>
            <w:fldChar w:fldCharType="separate"/>
          </w:r>
          <w:r>
            <w:rPr>
              <w:rFonts w:hint="default"/>
            </w:rPr>
            <w:t xml:space="preserve">3. </w:t>
          </w:r>
          <w:r>
            <w:rPr>
              <w:rFonts w:hint="eastAsia"/>
              <w:lang w:val="en-US" w:eastAsia="zh-CN"/>
            </w:rPr>
            <w:t>定义与术语</w:t>
          </w:r>
          <w:r>
            <w:tab/>
          </w:r>
          <w:r>
            <w:fldChar w:fldCharType="begin"/>
          </w:r>
          <w:r>
            <w:instrText xml:space="preserve"> PAGEREF _Toc29582 \h </w:instrText>
          </w:r>
          <w:r>
            <w:fldChar w:fldCharType="separate"/>
          </w:r>
          <w:r>
            <w:t>6</w:t>
          </w:r>
          <w:r>
            <w:fldChar w:fldCharType="end"/>
          </w:r>
          <w:r>
            <w:rPr>
              <w:rFonts w:hint="eastAsia" w:ascii="宋体" w:hAnsi="宋体" w:eastAsia="宋体" w:cs="宋体"/>
              <w:szCs w:val="24"/>
            </w:rPr>
            <w:fldChar w:fldCharType="end"/>
          </w:r>
        </w:p>
        <w:p w14:paraId="0533E01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_Toc20274 </w:instrText>
          </w:r>
          <w:r>
            <w:rPr>
              <w:rFonts w:hint="eastAsia" w:ascii="宋体" w:hAnsi="宋体" w:eastAsia="宋体" w:cs="宋体"/>
              <w:szCs w:val="24"/>
            </w:rPr>
            <w:fldChar w:fldCharType="separate"/>
          </w:r>
          <w:r>
            <w:rPr>
              <w:rFonts w:hint="default"/>
            </w:rPr>
            <w:t xml:space="preserve">3.1. </w:t>
          </w:r>
          <w:r>
            <w:rPr>
              <w:rFonts w:hint="eastAsia"/>
            </w:rPr>
            <w:t>软件库</w:t>
          </w:r>
          <w:r>
            <w:tab/>
          </w:r>
          <w:r>
            <w:fldChar w:fldCharType="begin"/>
          </w:r>
          <w:r>
            <w:instrText xml:space="preserve"> PAGEREF _Toc20274 \h </w:instrText>
          </w:r>
          <w:r>
            <w:fldChar w:fldCharType="separate"/>
          </w:r>
          <w:r>
            <w:t>6</w:t>
          </w:r>
          <w:r>
            <w:fldChar w:fldCharType="end"/>
          </w:r>
          <w:r>
            <w:rPr>
              <w:rFonts w:hint="eastAsia" w:ascii="宋体" w:hAnsi="宋体" w:eastAsia="宋体" w:cs="宋体"/>
              <w:szCs w:val="24"/>
            </w:rPr>
            <w:fldChar w:fldCharType="end"/>
          </w:r>
        </w:p>
        <w:p w14:paraId="5459EDA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_Toc19787 </w:instrText>
          </w:r>
          <w:r>
            <w:rPr>
              <w:rFonts w:hint="eastAsia" w:ascii="宋体" w:hAnsi="宋体" w:eastAsia="宋体" w:cs="宋体"/>
              <w:szCs w:val="24"/>
            </w:rPr>
            <w:fldChar w:fldCharType="separate"/>
          </w:r>
          <w:r>
            <w:rPr>
              <w:rFonts w:hint="default"/>
            </w:rPr>
            <w:t xml:space="preserve">3.2. </w:t>
          </w:r>
          <w:r>
            <w:rPr>
              <w:rFonts w:hint="eastAsia"/>
            </w:rPr>
            <w:t>软件资产</w:t>
          </w:r>
          <w:r>
            <w:tab/>
          </w:r>
          <w:r>
            <w:fldChar w:fldCharType="begin"/>
          </w:r>
          <w:r>
            <w:instrText xml:space="preserve"> PAGEREF _Toc19787 \h </w:instrText>
          </w:r>
          <w:r>
            <w:fldChar w:fldCharType="separate"/>
          </w:r>
          <w:r>
            <w:t>6</w:t>
          </w:r>
          <w:r>
            <w:fldChar w:fldCharType="end"/>
          </w:r>
          <w:r>
            <w:rPr>
              <w:rFonts w:hint="eastAsia" w:ascii="宋体" w:hAnsi="宋体" w:eastAsia="宋体" w:cs="宋体"/>
              <w:szCs w:val="24"/>
            </w:rPr>
            <w:fldChar w:fldCharType="end"/>
          </w:r>
        </w:p>
        <w:p w14:paraId="213A5AC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_Toc25693 </w:instrText>
          </w:r>
          <w:r>
            <w:rPr>
              <w:rFonts w:hint="eastAsia" w:ascii="宋体" w:hAnsi="宋体" w:eastAsia="宋体" w:cs="宋体"/>
              <w:szCs w:val="24"/>
            </w:rPr>
            <w:fldChar w:fldCharType="separate"/>
          </w:r>
          <w:r>
            <w:rPr>
              <w:rFonts w:hint="default"/>
            </w:rPr>
            <w:t xml:space="preserve">3.3. </w:t>
          </w:r>
          <w:r>
            <w:rPr>
              <w:rFonts w:hint="eastAsia"/>
            </w:rPr>
            <w:t>基线版本</w:t>
          </w:r>
          <w:r>
            <w:tab/>
          </w:r>
          <w:r>
            <w:fldChar w:fldCharType="begin"/>
          </w:r>
          <w:r>
            <w:instrText xml:space="preserve"> PAGEREF _Toc25693 \h </w:instrText>
          </w:r>
          <w:r>
            <w:fldChar w:fldCharType="separate"/>
          </w:r>
          <w:r>
            <w:t>7</w:t>
          </w:r>
          <w:r>
            <w:fldChar w:fldCharType="end"/>
          </w:r>
          <w:r>
            <w:rPr>
              <w:rFonts w:hint="eastAsia" w:ascii="宋体" w:hAnsi="宋体" w:eastAsia="宋体" w:cs="宋体"/>
              <w:szCs w:val="24"/>
            </w:rPr>
            <w:fldChar w:fldCharType="end"/>
          </w:r>
        </w:p>
        <w:p w14:paraId="3AF2B9C5">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_Toc24001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管理内容与要求</w:t>
          </w:r>
          <w:r>
            <w:tab/>
          </w:r>
          <w:r>
            <w:fldChar w:fldCharType="begin"/>
          </w:r>
          <w:r>
            <w:instrText xml:space="preserve"> PAGEREF _Toc24001 \h </w:instrText>
          </w:r>
          <w:r>
            <w:fldChar w:fldCharType="separate"/>
          </w:r>
          <w:r>
            <w:t>7</w:t>
          </w:r>
          <w:r>
            <w:fldChar w:fldCharType="end"/>
          </w:r>
          <w:r>
            <w:rPr>
              <w:rFonts w:hint="eastAsia" w:ascii="宋体" w:hAnsi="宋体" w:eastAsia="宋体" w:cs="宋体"/>
              <w:szCs w:val="24"/>
            </w:rPr>
            <w:fldChar w:fldCharType="end"/>
          </w:r>
        </w:p>
        <w:p w14:paraId="3E57267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_Toc7611 </w:instrText>
          </w:r>
          <w:r>
            <w:rPr>
              <w:rFonts w:hint="eastAsia" w:ascii="宋体" w:hAnsi="宋体" w:eastAsia="宋体" w:cs="宋体"/>
              <w:szCs w:val="24"/>
            </w:rPr>
            <w:fldChar w:fldCharType="separate"/>
          </w:r>
          <w:r>
            <w:rPr>
              <w:rFonts w:hint="default"/>
              <w:lang w:val="en-US" w:eastAsia="zh-CN"/>
            </w:rPr>
            <w:t>4.1. 软件分类与分级</w:t>
          </w:r>
          <w:r>
            <w:tab/>
          </w:r>
          <w:r>
            <w:fldChar w:fldCharType="begin"/>
          </w:r>
          <w:r>
            <w:instrText xml:space="preserve"> PAGEREF _Toc7611 \h </w:instrText>
          </w:r>
          <w:r>
            <w:fldChar w:fldCharType="separate"/>
          </w:r>
          <w:r>
            <w:t>7</w:t>
          </w:r>
          <w:r>
            <w:fldChar w:fldCharType="end"/>
          </w:r>
          <w:r>
            <w:rPr>
              <w:rFonts w:hint="eastAsia" w:ascii="宋体" w:hAnsi="宋体" w:eastAsia="宋体" w:cs="宋体"/>
              <w:szCs w:val="24"/>
            </w:rPr>
            <w:fldChar w:fldCharType="end"/>
          </w:r>
        </w:p>
        <w:p w14:paraId="6FBFE1D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_Toc24975 </w:instrText>
          </w:r>
          <w:r>
            <w:rPr>
              <w:rFonts w:hint="eastAsia" w:ascii="宋体" w:hAnsi="宋体" w:eastAsia="宋体" w:cs="宋体"/>
              <w:szCs w:val="24"/>
            </w:rPr>
            <w:fldChar w:fldCharType="separate"/>
          </w:r>
          <w:r>
            <w:rPr>
              <w:rFonts w:hint="default"/>
              <w:lang w:val="en-US" w:eastAsia="zh-CN"/>
            </w:rPr>
            <w:t>4.2. 软件引入与入库</w:t>
          </w:r>
          <w:r>
            <w:tab/>
          </w:r>
          <w:r>
            <w:fldChar w:fldCharType="begin"/>
          </w:r>
          <w:r>
            <w:instrText xml:space="preserve"> PAGEREF _Toc24975 \h </w:instrText>
          </w:r>
          <w:r>
            <w:fldChar w:fldCharType="separate"/>
          </w:r>
          <w:r>
            <w:t>7</w:t>
          </w:r>
          <w:r>
            <w:fldChar w:fldCharType="end"/>
          </w:r>
          <w:r>
            <w:rPr>
              <w:rFonts w:hint="eastAsia" w:ascii="宋体" w:hAnsi="宋体" w:eastAsia="宋体" w:cs="宋体"/>
              <w:szCs w:val="24"/>
            </w:rPr>
            <w:fldChar w:fldCharType="end"/>
          </w:r>
        </w:p>
        <w:p w14:paraId="007681C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_Toc12859 </w:instrText>
          </w:r>
          <w:r>
            <w:rPr>
              <w:rFonts w:hint="eastAsia" w:ascii="宋体" w:hAnsi="宋体" w:eastAsia="宋体" w:cs="宋体"/>
              <w:szCs w:val="24"/>
            </w:rPr>
            <w:fldChar w:fldCharType="separate"/>
          </w:r>
          <w:r>
            <w:rPr>
              <w:rFonts w:hint="default"/>
              <w:lang w:val="en-US" w:eastAsia="zh-CN"/>
            </w:rPr>
            <w:t>4.3. 软件存储与版本控制</w:t>
          </w:r>
          <w:r>
            <w:tab/>
          </w:r>
          <w:r>
            <w:fldChar w:fldCharType="begin"/>
          </w:r>
          <w:r>
            <w:instrText xml:space="preserve"> PAGEREF _Toc12859 \h </w:instrText>
          </w:r>
          <w:r>
            <w:fldChar w:fldCharType="separate"/>
          </w:r>
          <w:r>
            <w:t>7</w:t>
          </w:r>
          <w:r>
            <w:fldChar w:fldCharType="end"/>
          </w:r>
          <w:r>
            <w:rPr>
              <w:rFonts w:hint="eastAsia" w:ascii="宋体" w:hAnsi="宋体" w:eastAsia="宋体" w:cs="宋体"/>
              <w:szCs w:val="24"/>
            </w:rPr>
            <w:fldChar w:fldCharType="end"/>
          </w:r>
        </w:p>
        <w:p w14:paraId="2E24FE2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_Toc13683 </w:instrText>
          </w:r>
          <w:r>
            <w:rPr>
              <w:rFonts w:hint="eastAsia" w:ascii="宋体" w:hAnsi="宋体" w:eastAsia="宋体" w:cs="宋体"/>
              <w:szCs w:val="24"/>
            </w:rPr>
            <w:fldChar w:fldCharType="separate"/>
          </w:r>
          <w:r>
            <w:rPr>
              <w:rFonts w:hint="default"/>
              <w:lang w:val="en-US" w:eastAsia="zh-CN"/>
            </w:rPr>
            <w:t>4.4. 软件发布与部署</w:t>
          </w:r>
          <w:r>
            <w:tab/>
          </w:r>
          <w:r>
            <w:fldChar w:fldCharType="begin"/>
          </w:r>
          <w:r>
            <w:instrText xml:space="preserve"> PAGEREF _Toc13683 \h </w:instrText>
          </w:r>
          <w:r>
            <w:fldChar w:fldCharType="separate"/>
          </w:r>
          <w:r>
            <w:t>8</w:t>
          </w:r>
          <w:r>
            <w:fldChar w:fldCharType="end"/>
          </w:r>
          <w:r>
            <w:rPr>
              <w:rFonts w:hint="eastAsia" w:ascii="宋体" w:hAnsi="宋体" w:eastAsia="宋体" w:cs="宋体"/>
              <w:szCs w:val="24"/>
            </w:rPr>
            <w:fldChar w:fldCharType="end"/>
          </w:r>
        </w:p>
        <w:p w14:paraId="198194F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_Toc12037 </w:instrText>
          </w:r>
          <w:r>
            <w:rPr>
              <w:rFonts w:hint="eastAsia" w:ascii="宋体" w:hAnsi="宋体" w:eastAsia="宋体" w:cs="宋体"/>
              <w:szCs w:val="24"/>
            </w:rPr>
            <w:fldChar w:fldCharType="separate"/>
          </w:r>
          <w:r>
            <w:rPr>
              <w:rFonts w:hint="default"/>
              <w:lang w:val="en-US" w:eastAsia="zh-CN"/>
            </w:rPr>
            <w:t>4.5. 软件维护与退役</w:t>
          </w:r>
          <w:r>
            <w:tab/>
          </w:r>
          <w:r>
            <w:fldChar w:fldCharType="begin"/>
          </w:r>
          <w:r>
            <w:instrText xml:space="preserve"> PAGEREF _Toc12037 \h </w:instrText>
          </w:r>
          <w:r>
            <w:fldChar w:fldCharType="separate"/>
          </w:r>
          <w:r>
            <w:t>8</w:t>
          </w:r>
          <w:r>
            <w:fldChar w:fldCharType="end"/>
          </w:r>
          <w:r>
            <w:rPr>
              <w:rFonts w:hint="eastAsia" w:ascii="宋体" w:hAnsi="宋体" w:eastAsia="宋体" w:cs="宋体"/>
              <w:szCs w:val="24"/>
            </w:rPr>
            <w:fldChar w:fldCharType="end"/>
          </w:r>
        </w:p>
        <w:p w14:paraId="1A23EB39">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_Toc20427 </w:instrText>
          </w:r>
          <w:r>
            <w:rPr>
              <w:rFonts w:hint="eastAsia" w:ascii="宋体" w:hAnsi="宋体" w:eastAsia="宋体" w:cs="宋体"/>
              <w:szCs w:val="24"/>
            </w:rPr>
            <w:fldChar w:fldCharType="separate"/>
          </w:r>
          <w:r>
            <w:rPr>
              <w:rFonts w:hint="default"/>
              <w:lang w:val="en-US" w:eastAsia="zh-CN"/>
            </w:rPr>
            <w:t>4.6. 软件库备份与访问策略</w:t>
          </w:r>
          <w:r>
            <w:tab/>
          </w:r>
          <w:r>
            <w:fldChar w:fldCharType="begin"/>
          </w:r>
          <w:r>
            <w:instrText xml:space="preserve"> PAGEREF _Toc20427 \h </w:instrText>
          </w:r>
          <w:r>
            <w:fldChar w:fldCharType="separate"/>
          </w:r>
          <w:r>
            <w:t>8</w:t>
          </w:r>
          <w:r>
            <w:fldChar w:fldCharType="end"/>
          </w:r>
          <w:r>
            <w:rPr>
              <w:rFonts w:hint="eastAsia" w:ascii="宋体" w:hAnsi="宋体" w:eastAsia="宋体" w:cs="宋体"/>
              <w:szCs w:val="24"/>
            </w:rPr>
            <w:fldChar w:fldCharType="end"/>
          </w:r>
        </w:p>
        <w:p w14:paraId="4F452975">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_Toc16246 </w:instrText>
          </w:r>
          <w:r>
            <w:rPr>
              <w:rFonts w:hint="eastAsia" w:ascii="宋体" w:hAnsi="宋体" w:eastAsia="宋体" w:cs="宋体"/>
              <w:szCs w:val="24"/>
            </w:rPr>
            <w:fldChar w:fldCharType="separate"/>
          </w:r>
          <w:r>
            <w:rPr>
              <w:rFonts w:hint="default"/>
              <w:lang w:val="en-US" w:eastAsia="zh-CN"/>
            </w:rPr>
            <w:t>4.6.1. 软件库备份策略</w:t>
          </w:r>
          <w:r>
            <w:tab/>
          </w:r>
          <w:r>
            <w:fldChar w:fldCharType="begin"/>
          </w:r>
          <w:r>
            <w:instrText xml:space="preserve"> PAGEREF _Toc16246 \h </w:instrText>
          </w:r>
          <w:r>
            <w:fldChar w:fldCharType="separate"/>
          </w:r>
          <w:r>
            <w:t>8</w:t>
          </w:r>
          <w:r>
            <w:fldChar w:fldCharType="end"/>
          </w:r>
          <w:r>
            <w:rPr>
              <w:rFonts w:hint="eastAsia" w:ascii="宋体" w:hAnsi="宋体" w:eastAsia="宋体" w:cs="宋体"/>
              <w:szCs w:val="24"/>
            </w:rPr>
            <w:fldChar w:fldCharType="end"/>
          </w:r>
        </w:p>
        <w:p w14:paraId="64EA49E2">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_Toc19246 </w:instrText>
          </w:r>
          <w:r>
            <w:rPr>
              <w:rFonts w:hint="eastAsia" w:ascii="宋体" w:hAnsi="宋体" w:eastAsia="宋体" w:cs="宋体"/>
              <w:szCs w:val="24"/>
            </w:rPr>
            <w:fldChar w:fldCharType="separate"/>
          </w:r>
          <w:r>
            <w:rPr>
              <w:rFonts w:hint="default"/>
              <w:lang w:val="en-US" w:eastAsia="zh-CN"/>
            </w:rPr>
            <w:t>4.6.2. 软件库访问策略</w:t>
          </w:r>
          <w:r>
            <w:tab/>
          </w:r>
          <w:r>
            <w:fldChar w:fldCharType="begin"/>
          </w:r>
          <w:r>
            <w:instrText xml:space="preserve"> PAGEREF _Toc19246 \h </w:instrText>
          </w:r>
          <w:r>
            <w:fldChar w:fldCharType="separate"/>
          </w:r>
          <w:r>
            <w:t>9</w:t>
          </w:r>
          <w:r>
            <w:fldChar w:fldCharType="end"/>
          </w:r>
          <w:r>
            <w:rPr>
              <w:rFonts w:hint="eastAsia" w:ascii="宋体" w:hAnsi="宋体" w:eastAsia="宋体" w:cs="宋体"/>
              <w:szCs w:val="24"/>
            </w:rPr>
            <w:fldChar w:fldCharType="end"/>
          </w:r>
        </w:p>
        <w:p w14:paraId="7BB6446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_Toc26054 </w:instrText>
          </w:r>
          <w:r>
            <w:rPr>
              <w:rFonts w:hint="eastAsia" w:ascii="宋体" w:hAnsi="宋体" w:eastAsia="宋体" w:cs="宋体"/>
              <w:szCs w:val="24"/>
            </w:rPr>
            <w:fldChar w:fldCharType="separate"/>
          </w:r>
          <w:r>
            <w:rPr>
              <w:rFonts w:hint="default"/>
              <w:lang w:val="en-US" w:eastAsia="zh-CN"/>
            </w:rPr>
            <w:t xml:space="preserve">4.7. </w:t>
          </w:r>
          <w:r>
            <w:rPr>
              <w:rFonts w:hint="eastAsia"/>
              <w:lang w:val="en-US" w:eastAsia="zh-CN"/>
            </w:rPr>
            <w:t>考核指标</w:t>
          </w:r>
          <w:r>
            <w:tab/>
          </w:r>
          <w:r>
            <w:fldChar w:fldCharType="begin"/>
          </w:r>
          <w:r>
            <w:instrText xml:space="preserve"> PAGEREF _Toc26054 \h </w:instrText>
          </w:r>
          <w:r>
            <w:fldChar w:fldCharType="separate"/>
          </w:r>
          <w:r>
            <w:t>10</w:t>
          </w:r>
          <w:r>
            <w:fldChar w:fldCharType="end"/>
          </w:r>
          <w:r>
            <w:rPr>
              <w:rFonts w:hint="eastAsia" w:ascii="宋体" w:hAnsi="宋体" w:eastAsia="宋体" w:cs="宋体"/>
              <w:szCs w:val="24"/>
            </w:rPr>
            <w:fldChar w:fldCharType="end"/>
          </w:r>
        </w:p>
        <w:p w14:paraId="76D03FBD">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_Toc13039 </w:instrText>
          </w:r>
          <w:r>
            <w:rPr>
              <w:rFonts w:hint="eastAsia" w:ascii="宋体" w:hAnsi="宋体" w:eastAsia="宋体" w:cs="宋体"/>
              <w:szCs w:val="24"/>
            </w:rPr>
            <w:fldChar w:fldCharType="separate"/>
          </w:r>
          <w:r>
            <w:rPr>
              <w:rFonts w:hint="default" w:eastAsia="宋体"/>
              <w:lang w:val="en-US" w:eastAsia="zh-CN"/>
            </w:rPr>
            <w:t xml:space="preserve">5. </w:t>
          </w:r>
          <w:r>
            <w:rPr>
              <w:rFonts w:hint="eastAsia" w:eastAsia="宋体"/>
              <w:lang w:val="en-US" w:eastAsia="zh-CN"/>
            </w:rPr>
            <w:t>附则</w:t>
          </w:r>
          <w:r>
            <w:tab/>
          </w:r>
          <w:r>
            <w:fldChar w:fldCharType="begin"/>
          </w:r>
          <w:r>
            <w:instrText xml:space="preserve"> PAGEREF _Toc13039 \h </w:instrText>
          </w:r>
          <w:r>
            <w:fldChar w:fldCharType="separate"/>
          </w:r>
          <w:r>
            <w:t>10</w:t>
          </w:r>
          <w:r>
            <w:fldChar w:fldCharType="end"/>
          </w:r>
          <w:r>
            <w:rPr>
              <w:rFonts w:hint="eastAsia" w:ascii="宋体" w:hAnsi="宋体" w:eastAsia="宋体" w:cs="宋体"/>
              <w:szCs w:val="24"/>
            </w:rPr>
            <w:fldChar w:fldCharType="end"/>
          </w:r>
        </w:p>
        <w:p w14:paraId="237B85C1">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_Toc12819 </w:instrText>
          </w:r>
          <w:r>
            <w:rPr>
              <w:rFonts w:hint="eastAsia" w:ascii="宋体" w:hAnsi="宋体" w:eastAsia="宋体" w:cs="宋体"/>
              <w:szCs w:val="24"/>
            </w:rPr>
            <w:fldChar w:fldCharType="separate"/>
          </w:r>
          <w:r>
            <w:rPr>
              <w:rFonts w:hint="default"/>
              <w:lang w:val="en-US" w:eastAsia="zh-CN"/>
            </w:rPr>
            <w:t xml:space="preserve">6. </w:t>
          </w:r>
          <w:r>
            <w:rPr>
              <w:rFonts w:hint="eastAsia"/>
              <w:lang w:val="en-US" w:eastAsia="zh-CN"/>
            </w:rPr>
            <w:t>附件</w:t>
          </w:r>
          <w:r>
            <w:tab/>
          </w:r>
          <w:r>
            <w:fldChar w:fldCharType="begin"/>
          </w:r>
          <w:r>
            <w:instrText xml:space="preserve"> PAGEREF _Toc12819 \h </w:instrText>
          </w:r>
          <w:r>
            <w:fldChar w:fldCharType="separate"/>
          </w:r>
          <w:r>
            <w:t>10</w:t>
          </w:r>
          <w:r>
            <w:fldChar w:fldCharType="end"/>
          </w:r>
          <w:r>
            <w:rPr>
              <w:rFonts w:hint="eastAsia" w:ascii="宋体" w:hAnsi="宋体" w:eastAsia="宋体" w:cs="宋体"/>
              <w:szCs w:val="24"/>
            </w:rPr>
            <w:fldChar w:fldCharType="end"/>
          </w:r>
        </w:p>
        <w:p w14:paraId="17F35C46">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_Toc2173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记录</w:t>
          </w:r>
          <w:r>
            <w:tab/>
          </w:r>
          <w:r>
            <w:fldChar w:fldCharType="begin"/>
          </w:r>
          <w:r>
            <w:instrText xml:space="preserve"> PAGEREF _Toc2173 \h </w:instrText>
          </w:r>
          <w:r>
            <w:fldChar w:fldCharType="separate"/>
          </w:r>
          <w:r>
            <w:t>10</w:t>
          </w:r>
          <w:r>
            <w:fldChar w:fldCharType="end"/>
          </w:r>
          <w:r>
            <w:rPr>
              <w:rFonts w:hint="eastAsia" w:ascii="宋体" w:hAnsi="宋体" w:eastAsia="宋体" w:cs="宋体"/>
              <w:szCs w:val="24"/>
            </w:rPr>
            <w:fldChar w:fldCharType="end"/>
          </w:r>
        </w:p>
        <w:p w14:paraId="65C84D93">
          <w:pPr>
            <w:keepNext w:val="0"/>
            <w:keepLines w:val="0"/>
            <w:pageBreakBefore w:val="0"/>
            <w:widowControl w:val="0"/>
            <w:kinsoku w:val="0"/>
            <w:wordWrap/>
            <w:overflowPunct/>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09A59FC3">
      <w:pPr>
        <w:keepNext w:val="0"/>
        <w:keepLines w:val="0"/>
        <w:pageBreakBefore w:val="0"/>
        <w:widowControl w:val="0"/>
        <w:kinsoku w:val="0"/>
        <w:wordWrap/>
        <w:overflowPunct/>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20C54928">
      <w:pPr>
        <w:pStyle w:val="28"/>
        <w:keepNext w:val="0"/>
        <w:keepLines w:val="0"/>
        <w:pageBreakBefore w:val="0"/>
        <w:widowControl w:val="0"/>
        <w:kinsoku w:val="0"/>
        <w:wordWrap/>
        <w:overflowPunct/>
        <w:autoSpaceDE w:val="0"/>
        <w:autoSpaceDN w:val="0"/>
        <w:bidi w:val="0"/>
        <w:adjustRightInd w:val="0"/>
        <w:snapToGrid w:val="0"/>
        <w:textAlignment w:val="baseline"/>
      </w:pPr>
      <w:bookmarkStart w:id="2" w:name="_Toc32240"/>
      <w:r>
        <w:rPr>
          <w:rFonts w:hint="eastAsia"/>
          <w:lang w:val="en-US" w:eastAsia="zh-CN"/>
        </w:rPr>
        <w:t>总则</w:t>
      </w:r>
      <w:bookmarkEnd w:id="2"/>
    </w:p>
    <w:p w14:paraId="0C920A62">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3" w:name="_Toc31559"/>
      <w:r>
        <w:rPr>
          <w:rFonts w:hint="eastAsia"/>
          <w:lang w:val="en-US" w:eastAsia="zh-CN"/>
        </w:rPr>
        <w:t>目的</w:t>
      </w:r>
      <w:bookmarkEnd w:id="3"/>
    </w:p>
    <w:p w14:paraId="39E2F93E">
      <w:pPr>
        <w:pStyle w:val="29"/>
        <w:rPr>
          <w:rFonts w:hint="eastAsia"/>
          <w:lang w:val="en-US" w:eastAsia="zh-CN"/>
        </w:rPr>
      </w:pPr>
      <w:r>
        <w:rPr>
          <w:rFonts w:hint="eastAsia"/>
          <w:lang w:val="en-US" w:eastAsia="zh-CN"/>
        </w:rPr>
        <w:t>为规范公司运维服务所需软件资产的获取、存储、发布、使用及退役全过程，确保软件来源的合规性、版本的受控性及使用安全性，提高软件复用率与运维效率，降低软件许可与安全风险，特制定本制度。</w:t>
      </w:r>
    </w:p>
    <w:p w14:paraId="66789811">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4" w:name="_Toc17675"/>
      <w:r>
        <w:rPr>
          <w:rFonts w:hint="eastAsia"/>
          <w:lang w:val="en-US" w:eastAsia="zh-CN"/>
        </w:rPr>
        <w:t>适用范围</w:t>
      </w:r>
      <w:bookmarkEnd w:id="4"/>
    </w:p>
    <w:p w14:paraId="1100E4B1">
      <w:pPr>
        <w:pStyle w:val="29"/>
        <w:rPr>
          <w:rFonts w:hint="eastAsia"/>
          <w:lang w:val="en-US" w:eastAsia="zh-CN"/>
        </w:rPr>
      </w:pPr>
      <w:r>
        <w:rPr>
          <w:rFonts w:hint="eastAsia"/>
          <w:lang w:val="en-US" w:eastAsia="zh-CN"/>
        </w:rPr>
        <w:t>本制度适用于公司运维服务活动中所使用的所有软件，包括系统软件、支撑软件、应用软件及相关补丁与插件，涉及运维部、研发部、质量部、人力部及采购部。</w:t>
      </w:r>
    </w:p>
    <w:p w14:paraId="0D2D2B0F">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5" w:name="_Toc12312"/>
      <w:r>
        <w:rPr>
          <w:rFonts w:hint="eastAsia"/>
          <w:lang w:val="en-US" w:eastAsia="zh-CN"/>
        </w:rPr>
        <w:t>原则</w:t>
      </w:r>
      <w:bookmarkEnd w:id="5"/>
    </w:p>
    <w:p w14:paraId="5E044BEC">
      <w:pPr>
        <w:pStyle w:val="29"/>
        <w:numPr>
          <w:ilvl w:val="0"/>
          <w:numId w:val="2"/>
        </w:numPr>
        <w:ind w:left="425" w:leftChars="0" w:hanging="425" w:firstLineChars="0"/>
        <w:rPr>
          <w:rFonts w:hint="eastAsia"/>
          <w:lang w:val="en-US" w:eastAsia="zh-CN"/>
        </w:rPr>
      </w:pPr>
      <w:r>
        <w:rPr>
          <w:rFonts w:hint="eastAsia"/>
          <w:lang w:val="en-US" w:eastAsia="zh-CN"/>
        </w:rPr>
        <w:t>集中管控原则：所有运维软件必须纳入统一的软件库进行集中管理，禁止私自引入和使用。</w:t>
      </w:r>
    </w:p>
    <w:p w14:paraId="0BF8EF2D">
      <w:pPr>
        <w:pStyle w:val="29"/>
        <w:numPr>
          <w:ilvl w:val="0"/>
          <w:numId w:val="2"/>
        </w:numPr>
        <w:ind w:left="425" w:leftChars="0" w:hanging="425" w:firstLineChars="0"/>
        <w:rPr>
          <w:rFonts w:hint="eastAsia"/>
          <w:lang w:val="en-US" w:eastAsia="zh-CN"/>
        </w:rPr>
      </w:pPr>
      <w:r>
        <w:rPr>
          <w:rFonts w:hint="eastAsia"/>
          <w:lang w:val="en-US" w:eastAsia="zh-CN"/>
        </w:rPr>
        <w:t>合规安全原则：软件的引入必须经过严格的合规与安全评估，确保不侵犯知识产权且无已知高危漏洞。</w:t>
      </w:r>
    </w:p>
    <w:p w14:paraId="39D6BD35">
      <w:pPr>
        <w:pStyle w:val="29"/>
        <w:numPr>
          <w:ilvl w:val="0"/>
          <w:numId w:val="2"/>
        </w:numPr>
        <w:ind w:left="425" w:leftChars="0" w:hanging="425" w:firstLineChars="0"/>
        <w:rPr>
          <w:rFonts w:hint="eastAsia"/>
          <w:lang w:val="en-US" w:eastAsia="zh-CN"/>
        </w:rPr>
      </w:pPr>
      <w:r>
        <w:rPr>
          <w:rFonts w:hint="eastAsia"/>
          <w:lang w:val="en-US" w:eastAsia="zh-CN"/>
        </w:rPr>
        <w:t>版本唯一原则：在同一环境下，对任一软件只允许一个受控版本在库内生效，避免版本混乱。</w:t>
      </w:r>
    </w:p>
    <w:p w14:paraId="7164C1F9">
      <w:pPr>
        <w:pStyle w:val="29"/>
        <w:numPr>
          <w:ilvl w:val="0"/>
          <w:numId w:val="2"/>
        </w:numPr>
        <w:ind w:left="425" w:leftChars="0" w:hanging="425" w:firstLineChars="0"/>
        <w:rPr>
          <w:rFonts w:hint="eastAsia"/>
          <w:lang w:val="en-US" w:eastAsia="zh-CN"/>
        </w:rPr>
      </w:pPr>
      <w:r>
        <w:rPr>
          <w:rFonts w:hint="eastAsia"/>
          <w:lang w:val="en-US" w:eastAsia="zh-CN"/>
        </w:rPr>
        <w:t>生命周期原则：对软件从事前评估、事中控制到事后归档实施全生命周期管理。</w:t>
      </w:r>
    </w:p>
    <w:p w14:paraId="7B54E268">
      <w:pPr>
        <w:pStyle w:val="30"/>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6" w:name="_Toc11477"/>
      <w:r>
        <w:rPr>
          <w:rFonts w:hint="eastAsia"/>
          <w:lang w:val="en-US" w:eastAsia="zh-CN"/>
        </w:rPr>
        <w:t>岗位职责</w:t>
      </w:r>
      <w:bookmarkEnd w:id="6"/>
    </w:p>
    <w:p w14:paraId="6A0E611B">
      <w:pPr>
        <w:pStyle w:val="31"/>
        <w:bidi w:val="0"/>
        <w:rPr>
          <w:rFonts w:hint="default"/>
          <w:lang w:val="en-US" w:eastAsia="zh-CN"/>
        </w:rPr>
      </w:pPr>
      <w:bookmarkStart w:id="7" w:name="_Toc30750"/>
      <w:r>
        <w:rPr>
          <w:rFonts w:hint="default"/>
          <w:lang w:val="en-US" w:eastAsia="zh-CN"/>
        </w:rPr>
        <w:t>运维部</w:t>
      </w:r>
      <w:bookmarkEnd w:id="7"/>
    </w:p>
    <w:p w14:paraId="72860A0A">
      <w:pPr>
        <w:pStyle w:val="29"/>
        <w:rPr>
          <w:rFonts w:hint="default"/>
          <w:lang w:val="en-US" w:eastAsia="zh-CN"/>
        </w:rPr>
      </w:pPr>
      <w:r>
        <w:rPr>
          <w:rFonts w:hint="default"/>
          <w:lang w:val="en-US" w:eastAsia="zh-CN"/>
        </w:rPr>
        <w:t>作为软件的主要使用者和库管理责任部门，负责提报软件需求、执行软件部署、进行日常维护，并承担软件库的日常管理操作。</w:t>
      </w:r>
    </w:p>
    <w:p w14:paraId="7588B8A4">
      <w:pPr>
        <w:pStyle w:val="31"/>
        <w:bidi w:val="0"/>
        <w:rPr>
          <w:rFonts w:hint="default"/>
          <w:lang w:val="en-US" w:eastAsia="zh-CN"/>
        </w:rPr>
      </w:pPr>
      <w:bookmarkStart w:id="8" w:name="_Toc8241"/>
      <w:r>
        <w:rPr>
          <w:rFonts w:hint="default"/>
          <w:lang w:val="en-US" w:eastAsia="zh-CN"/>
        </w:rPr>
        <w:t>采购部</w:t>
      </w:r>
      <w:bookmarkEnd w:id="8"/>
    </w:p>
    <w:p w14:paraId="466298BD">
      <w:pPr>
        <w:pStyle w:val="29"/>
        <w:rPr>
          <w:rFonts w:hint="default"/>
          <w:lang w:val="en-US" w:eastAsia="zh-CN"/>
        </w:rPr>
      </w:pPr>
      <w:r>
        <w:rPr>
          <w:rFonts w:hint="default"/>
          <w:lang w:val="en-US" w:eastAsia="zh-CN"/>
        </w:rPr>
        <w:t>负责商业软件的采购流程，确保采购活动符合公司规定及软件许可协议。</w:t>
      </w:r>
    </w:p>
    <w:p w14:paraId="31FAAEAA">
      <w:pPr>
        <w:pStyle w:val="31"/>
        <w:bidi w:val="0"/>
        <w:rPr>
          <w:rFonts w:hint="default"/>
          <w:lang w:val="en-US" w:eastAsia="zh-CN"/>
        </w:rPr>
      </w:pPr>
      <w:bookmarkStart w:id="9" w:name="_Toc24289"/>
      <w:r>
        <w:rPr>
          <w:rFonts w:hint="default"/>
          <w:lang w:val="en-US" w:eastAsia="zh-CN"/>
        </w:rPr>
        <w:t>质量部</w:t>
      </w:r>
      <w:bookmarkEnd w:id="9"/>
    </w:p>
    <w:p w14:paraId="7D951074">
      <w:pPr>
        <w:pStyle w:val="29"/>
        <w:rPr>
          <w:rFonts w:hint="default"/>
          <w:lang w:val="en-US" w:eastAsia="zh-CN"/>
        </w:rPr>
      </w:pPr>
      <w:r>
        <w:rPr>
          <w:rFonts w:hint="default"/>
          <w:lang w:val="en-US" w:eastAsia="zh-CN"/>
        </w:rPr>
        <w:t>负责监督软件引入的技术评估与测试流程，并定期审计软件库的合规性与管理规范性。</w:t>
      </w:r>
    </w:p>
    <w:p w14:paraId="6EDD63E8">
      <w:pPr>
        <w:pStyle w:val="31"/>
        <w:bidi w:val="0"/>
        <w:rPr>
          <w:rFonts w:hint="default"/>
          <w:lang w:val="en-US" w:eastAsia="zh-CN"/>
        </w:rPr>
      </w:pPr>
      <w:bookmarkStart w:id="10" w:name="_Toc16395"/>
      <w:r>
        <w:rPr>
          <w:rFonts w:hint="default"/>
          <w:lang w:val="en-US" w:eastAsia="zh-CN"/>
        </w:rPr>
        <w:t>研发部</w:t>
      </w:r>
      <w:bookmarkEnd w:id="10"/>
    </w:p>
    <w:p w14:paraId="55BE5B2C">
      <w:pPr>
        <w:pStyle w:val="29"/>
        <w:rPr>
          <w:rFonts w:hint="default"/>
          <w:lang w:val="en-US" w:eastAsia="zh-CN"/>
        </w:rPr>
      </w:pPr>
      <w:r>
        <w:rPr>
          <w:rFonts w:hint="default"/>
          <w:lang w:val="en-US" w:eastAsia="zh-CN"/>
        </w:rPr>
        <w:t>负责对需要二次开发或深度集成的软件提供技术评估支持。</w:t>
      </w:r>
    </w:p>
    <w:p w14:paraId="2256B553">
      <w:pPr>
        <w:pStyle w:val="31"/>
        <w:bidi w:val="0"/>
        <w:rPr>
          <w:rFonts w:hint="default"/>
          <w:lang w:val="en-US" w:eastAsia="zh-CN"/>
        </w:rPr>
      </w:pPr>
      <w:bookmarkStart w:id="11" w:name="_Toc16146"/>
      <w:r>
        <w:rPr>
          <w:rFonts w:hint="default"/>
          <w:lang w:val="en-US" w:eastAsia="zh-CN"/>
        </w:rPr>
        <w:t>人力部</w:t>
      </w:r>
      <w:bookmarkEnd w:id="11"/>
    </w:p>
    <w:p w14:paraId="3FBAADD6">
      <w:pPr>
        <w:pStyle w:val="29"/>
        <w:rPr>
          <w:rFonts w:hint="default"/>
          <w:lang w:val="en-US" w:eastAsia="zh-CN"/>
        </w:rPr>
      </w:pPr>
      <w:r>
        <w:rPr>
          <w:rFonts w:hint="default"/>
          <w:lang w:val="en-US" w:eastAsia="zh-CN"/>
        </w:rPr>
        <w:t>负责组织相关人员的软件管理制度与规范培训。</w:t>
      </w:r>
    </w:p>
    <w:p w14:paraId="76B27073">
      <w:pPr>
        <w:pStyle w:val="28"/>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12" w:name="_Toc11229"/>
      <w:r>
        <w:rPr>
          <w:rFonts w:hint="eastAsia"/>
          <w:lang w:val="en-US" w:eastAsia="zh-CN"/>
        </w:rPr>
        <w:t>引用依据</w:t>
      </w:r>
      <w:bookmarkEnd w:id="12"/>
    </w:p>
    <w:p w14:paraId="5FDA06BC">
      <w:pPr>
        <w:pStyle w:val="29"/>
        <w:rPr>
          <w:rFonts w:hint="eastAsia"/>
          <w:lang w:val="en-US" w:eastAsia="zh-CN"/>
        </w:rPr>
      </w:pPr>
      <w:r>
        <w:rPr>
          <w:rFonts w:hint="eastAsia"/>
          <w:lang w:val="en-US" w:eastAsia="zh-CN"/>
        </w:rPr>
        <w:t>本制度的制定遵循并引用以下国家标准与行业规范：</w:t>
      </w:r>
    </w:p>
    <w:p w14:paraId="6BC73378">
      <w:pPr>
        <w:pStyle w:val="29"/>
        <w:numPr>
          <w:ilvl w:val="0"/>
          <w:numId w:val="3"/>
        </w:numPr>
        <w:ind w:left="425" w:leftChars="0" w:hanging="425" w:firstLineChars="0"/>
        <w:rPr>
          <w:rFonts w:hint="eastAsia"/>
          <w:lang w:val="en-US" w:eastAsia="zh-CN"/>
        </w:rPr>
      </w:pPr>
      <w:r>
        <w:rPr>
          <w:rFonts w:hint="eastAsia"/>
          <w:lang w:val="en-US" w:eastAsia="zh-CN"/>
        </w:rPr>
        <w:t>GB/T 28827.1-2022 《信息技术服务 运行维护 第1部分：通用要求》</w:t>
      </w:r>
    </w:p>
    <w:p w14:paraId="6057A478">
      <w:pPr>
        <w:pStyle w:val="29"/>
        <w:numPr>
          <w:ilvl w:val="0"/>
          <w:numId w:val="3"/>
        </w:numPr>
        <w:ind w:left="425" w:leftChars="0" w:hanging="425" w:firstLineChars="0"/>
        <w:rPr>
          <w:rFonts w:hint="eastAsia"/>
          <w:lang w:val="en-US" w:eastAsia="zh-CN"/>
        </w:rPr>
      </w:pPr>
      <w:r>
        <w:rPr>
          <w:rFonts w:hint="eastAsia"/>
          <w:lang w:val="en-US" w:eastAsia="zh-CN"/>
        </w:rPr>
        <w:t>GB/T 28827.2-2012 《信息技术服务 运行维护 第2部分：交付规范》</w:t>
      </w:r>
    </w:p>
    <w:p w14:paraId="3A800BB6">
      <w:pPr>
        <w:pStyle w:val="29"/>
        <w:numPr>
          <w:ilvl w:val="0"/>
          <w:numId w:val="3"/>
        </w:numPr>
        <w:ind w:left="425" w:leftChars="0" w:hanging="425" w:firstLineChars="0"/>
        <w:rPr>
          <w:rFonts w:hint="eastAsia"/>
          <w:lang w:val="en-US" w:eastAsia="zh-CN"/>
        </w:rPr>
      </w:pPr>
      <w:r>
        <w:rPr>
          <w:rFonts w:hint="eastAsia"/>
          <w:lang w:val="en-US" w:eastAsia="zh-CN"/>
        </w:rPr>
        <w:t>GB/T 28827.3-2012 《信息技术服务 运行维护 第3部分：应急响应规范》</w:t>
      </w:r>
    </w:p>
    <w:p w14:paraId="74B21D0D">
      <w:pPr>
        <w:pStyle w:val="29"/>
        <w:numPr>
          <w:ilvl w:val="0"/>
          <w:numId w:val="3"/>
        </w:numPr>
        <w:ind w:left="425" w:leftChars="0" w:hanging="425" w:firstLineChars="0"/>
        <w:rPr>
          <w:rFonts w:hint="eastAsia"/>
          <w:lang w:val="en-US" w:eastAsia="zh-CN"/>
        </w:rPr>
      </w:pPr>
      <w:r>
        <w:rPr>
          <w:rFonts w:hint="eastAsia"/>
          <w:lang w:val="en-US" w:eastAsia="zh-CN"/>
        </w:rPr>
        <w:t>T/CESA 1299—2023 《信息技术服务 运行维护服务能力成熟度模型》</w:t>
      </w:r>
    </w:p>
    <w:p w14:paraId="5A8ECD5A">
      <w:pPr>
        <w:pStyle w:val="28"/>
        <w:keepNext w:val="0"/>
        <w:keepLines w:val="0"/>
        <w:pageBreakBefore w:val="0"/>
        <w:widowControl w:val="0"/>
        <w:kinsoku w:val="0"/>
        <w:wordWrap/>
        <w:overflowPunct/>
        <w:autoSpaceDE w:val="0"/>
        <w:autoSpaceDN w:val="0"/>
        <w:bidi w:val="0"/>
        <w:adjustRightInd w:val="0"/>
        <w:snapToGrid w:val="0"/>
        <w:textAlignment w:val="baseline"/>
      </w:pPr>
      <w:bookmarkStart w:id="13" w:name="_Toc29582"/>
      <w:r>
        <w:rPr>
          <w:rFonts w:hint="eastAsia"/>
          <w:lang w:val="en-US" w:eastAsia="zh-CN"/>
        </w:rPr>
        <w:t>定义与术语</w:t>
      </w:r>
      <w:bookmarkEnd w:id="13"/>
    </w:p>
    <w:p w14:paraId="0C75BF3F">
      <w:pPr>
        <w:pStyle w:val="30"/>
        <w:bidi w:val="0"/>
        <w:rPr>
          <w:rFonts w:hint="eastAsia"/>
        </w:rPr>
      </w:pPr>
      <w:bookmarkStart w:id="14" w:name="_Toc20274"/>
      <w:r>
        <w:rPr>
          <w:rFonts w:hint="eastAsia"/>
        </w:rPr>
        <w:t>软件库</w:t>
      </w:r>
      <w:bookmarkEnd w:id="14"/>
    </w:p>
    <w:p w14:paraId="767B76E5">
      <w:pPr>
        <w:pStyle w:val="29"/>
        <w:rPr>
          <w:rFonts w:hint="eastAsia"/>
        </w:rPr>
      </w:pPr>
      <w:r>
        <w:rPr>
          <w:rFonts w:hint="eastAsia"/>
        </w:rPr>
        <w:t>指公司用于统一存储、管理并发布所有经过授权和验证的软件安装包、许可证、文档及版本信息的逻辑存储库。</w:t>
      </w:r>
    </w:p>
    <w:p w14:paraId="5DE8E188">
      <w:pPr>
        <w:pStyle w:val="30"/>
        <w:bidi w:val="0"/>
        <w:rPr>
          <w:rFonts w:hint="eastAsia"/>
        </w:rPr>
      </w:pPr>
      <w:bookmarkStart w:id="15" w:name="_Toc19787"/>
      <w:r>
        <w:rPr>
          <w:rFonts w:hint="eastAsia"/>
        </w:rPr>
        <w:t>软件资产</w:t>
      </w:r>
      <w:bookmarkEnd w:id="15"/>
    </w:p>
    <w:p w14:paraId="012D2C63">
      <w:pPr>
        <w:pStyle w:val="29"/>
        <w:rPr>
          <w:rFonts w:hint="eastAsia"/>
        </w:rPr>
      </w:pPr>
      <w:r>
        <w:rPr>
          <w:rFonts w:hint="eastAsia"/>
        </w:rPr>
        <w:t>指公司拥有合法使用权的各类软件及其相关许可证明文档。</w:t>
      </w:r>
    </w:p>
    <w:p w14:paraId="370A148E">
      <w:pPr>
        <w:pStyle w:val="30"/>
        <w:bidi w:val="0"/>
        <w:rPr>
          <w:rFonts w:hint="eastAsia"/>
        </w:rPr>
      </w:pPr>
      <w:bookmarkStart w:id="16" w:name="_Toc25693"/>
      <w:r>
        <w:rPr>
          <w:rFonts w:hint="eastAsia"/>
        </w:rPr>
        <w:t>基线版本</w:t>
      </w:r>
      <w:bookmarkEnd w:id="16"/>
    </w:p>
    <w:p w14:paraId="5D1F85B7">
      <w:pPr>
        <w:pStyle w:val="29"/>
      </w:pPr>
      <w:r>
        <w:rPr>
          <w:rFonts w:hint="eastAsia"/>
        </w:rPr>
        <w:t>指经过全面测试、验证稳定，并被正式批准可在生产环境中部署运行的软件版本。</w:t>
      </w:r>
    </w:p>
    <w:p w14:paraId="5B7AF482">
      <w:pPr>
        <w:pStyle w:val="28"/>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7" w:name="_Toc24001"/>
      <w:r>
        <w:rPr>
          <w:rFonts w:hint="eastAsia"/>
          <w:lang w:val="en-US" w:eastAsia="zh-CN"/>
        </w:rPr>
        <w:t>管理内容与要求</w:t>
      </w:r>
      <w:bookmarkEnd w:id="17"/>
    </w:p>
    <w:p w14:paraId="101CAEBA">
      <w:pPr>
        <w:pStyle w:val="30"/>
        <w:bidi w:val="0"/>
        <w:rPr>
          <w:rFonts w:hint="default"/>
          <w:lang w:val="en-US" w:eastAsia="zh-CN"/>
        </w:rPr>
      </w:pPr>
      <w:bookmarkStart w:id="18" w:name="_Toc7611"/>
      <w:r>
        <w:rPr>
          <w:rFonts w:hint="default"/>
          <w:lang w:val="en-US" w:eastAsia="zh-CN"/>
        </w:rPr>
        <w:t>软件分类与分级</w:t>
      </w:r>
      <w:bookmarkEnd w:id="18"/>
    </w:p>
    <w:p w14:paraId="2E3F2FA7">
      <w:pPr>
        <w:pStyle w:val="29"/>
        <w:rPr>
          <w:rFonts w:hint="default"/>
          <w:lang w:val="en-US" w:eastAsia="zh-CN"/>
        </w:rPr>
      </w:pPr>
      <w:r>
        <w:rPr>
          <w:rFonts w:hint="default"/>
          <w:lang w:val="en-US" w:eastAsia="zh-CN"/>
        </w:rPr>
        <w:t>软件分类：</w:t>
      </w:r>
    </w:p>
    <w:p w14:paraId="77835EEB">
      <w:pPr>
        <w:pStyle w:val="29"/>
        <w:rPr>
          <w:rFonts w:hint="default"/>
          <w:lang w:val="en-US" w:eastAsia="zh-CN"/>
        </w:rPr>
      </w:pPr>
      <w:r>
        <w:rPr>
          <w:rFonts w:hint="default"/>
          <w:lang w:val="en-US" w:eastAsia="zh-CN"/>
        </w:rPr>
        <w:t>系统软件：如操作系统、虚拟机监控程序等。</w:t>
      </w:r>
    </w:p>
    <w:p w14:paraId="0DEC4987">
      <w:pPr>
        <w:pStyle w:val="29"/>
        <w:rPr>
          <w:rFonts w:hint="default"/>
          <w:lang w:val="en-US" w:eastAsia="zh-CN"/>
        </w:rPr>
      </w:pPr>
      <w:r>
        <w:rPr>
          <w:rFonts w:hint="default"/>
          <w:lang w:val="en-US" w:eastAsia="zh-CN"/>
        </w:rPr>
        <w:t>支撑软件：如数据库、中间件、备份软件等。</w:t>
      </w:r>
    </w:p>
    <w:p w14:paraId="418A2F2F">
      <w:pPr>
        <w:pStyle w:val="29"/>
        <w:rPr>
          <w:rFonts w:hint="default"/>
          <w:lang w:val="en-US" w:eastAsia="zh-CN"/>
        </w:rPr>
      </w:pPr>
      <w:r>
        <w:rPr>
          <w:rFonts w:hint="default"/>
          <w:lang w:val="en-US" w:eastAsia="zh-CN"/>
        </w:rPr>
        <w:t>工具软件：如监控工具、自动化运维平台、安全扫描工具等。</w:t>
      </w:r>
    </w:p>
    <w:p w14:paraId="1DDE0537">
      <w:pPr>
        <w:pStyle w:val="29"/>
        <w:rPr>
          <w:rFonts w:hint="default"/>
          <w:lang w:val="en-US" w:eastAsia="zh-CN"/>
        </w:rPr>
      </w:pPr>
      <w:r>
        <w:rPr>
          <w:rFonts w:hint="default"/>
          <w:lang w:val="en-US" w:eastAsia="zh-CN"/>
        </w:rPr>
        <w:t>应用补丁：针对上述软件的补丁程序、漏洞修复程序。</w:t>
      </w:r>
    </w:p>
    <w:p w14:paraId="626FE887">
      <w:pPr>
        <w:pStyle w:val="29"/>
        <w:rPr>
          <w:rFonts w:hint="default"/>
          <w:lang w:val="en-US" w:eastAsia="zh-CN"/>
        </w:rPr>
      </w:pPr>
      <w:r>
        <w:rPr>
          <w:rFonts w:hint="default"/>
          <w:lang w:val="en-US" w:eastAsia="zh-CN"/>
        </w:rPr>
        <w:t>使用环境分级：</w:t>
      </w:r>
    </w:p>
    <w:p w14:paraId="35B23521">
      <w:pPr>
        <w:pStyle w:val="29"/>
        <w:rPr>
          <w:rFonts w:hint="default"/>
          <w:lang w:val="en-US" w:eastAsia="zh-CN"/>
        </w:rPr>
      </w:pPr>
      <w:r>
        <w:rPr>
          <w:rFonts w:hint="default"/>
          <w:lang w:val="en-US" w:eastAsia="zh-CN"/>
        </w:rPr>
        <w:t>生产环境软件：用于正式业务运营的软件，需经过最严格的测试与审批。</w:t>
      </w:r>
    </w:p>
    <w:p w14:paraId="44CDC05F">
      <w:pPr>
        <w:pStyle w:val="29"/>
        <w:rPr>
          <w:rFonts w:hint="default"/>
          <w:lang w:val="en-US" w:eastAsia="zh-CN"/>
        </w:rPr>
      </w:pPr>
      <w:r>
        <w:rPr>
          <w:rFonts w:hint="default"/>
          <w:lang w:val="en-US" w:eastAsia="zh-CN"/>
        </w:rPr>
        <w:t>测试环境软件：用于功能、性能测试的软件。</w:t>
      </w:r>
    </w:p>
    <w:p w14:paraId="0647743D">
      <w:pPr>
        <w:pStyle w:val="29"/>
        <w:rPr>
          <w:rFonts w:hint="default"/>
          <w:lang w:val="en-US" w:eastAsia="zh-CN"/>
        </w:rPr>
      </w:pPr>
      <w:r>
        <w:rPr>
          <w:rFonts w:hint="default"/>
          <w:lang w:val="en-US" w:eastAsia="zh-CN"/>
        </w:rPr>
        <w:t>开发环境软件：用于研发或模拟环境的软件。</w:t>
      </w:r>
    </w:p>
    <w:p w14:paraId="01F2E1DA">
      <w:pPr>
        <w:pStyle w:val="30"/>
        <w:bidi w:val="0"/>
        <w:rPr>
          <w:rFonts w:hint="default"/>
          <w:lang w:val="en-US" w:eastAsia="zh-CN"/>
        </w:rPr>
      </w:pPr>
      <w:bookmarkStart w:id="19" w:name="_Toc24975"/>
      <w:r>
        <w:rPr>
          <w:rFonts w:hint="default"/>
          <w:lang w:val="en-US" w:eastAsia="zh-CN"/>
        </w:rPr>
        <w:t>软件引入与入库</w:t>
      </w:r>
      <w:bookmarkEnd w:id="19"/>
    </w:p>
    <w:p w14:paraId="604C0935">
      <w:pPr>
        <w:pStyle w:val="29"/>
        <w:rPr>
          <w:rFonts w:hint="default"/>
          <w:lang w:val="en-US" w:eastAsia="zh-CN"/>
        </w:rPr>
      </w:pPr>
      <w:r>
        <w:rPr>
          <w:rFonts w:hint="default"/>
          <w:lang w:val="en-US" w:eastAsia="zh-CN"/>
        </w:rPr>
        <w:t>需求申请：使用部门填写《软件引入申请表》，明确软件用途、技术要求和业务必要性。</w:t>
      </w:r>
    </w:p>
    <w:p w14:paraId="70E1D2BF">
      <w:pPr>
        <w:pStyle w:val="29"/>
        <w:rPr>
          <w:rFonts w:hint="default"/>
          <w:lang w:val="en-US" w:eastAsia="zh-CN"/>
        </w:rPr>
      </w:pPr>
      <w:r>
        <w:rPr>
          <w:rFonts w:hint="default"/>
          <w:lang w:val="en-US" w:eastAsia="zh-CN"/>
        </w:rPr>
        <w:t>技术评估：运维部与质量部对软件的技术兼容性、性能及安全性进行评估。</w:t>
      </w:r>
    </w:p>
    <w:p w14:paraId="436A0B1F">
      <w:pPr>
        <w:pStyle w:val="29"/>
        <w:rPr>
          <w:rFonts w:hint="default"/>
          <w:lang w:val="en-US" w:eastAsia="zh-CN"/>
        </w:rPr>
      </w:pPr>
      <w:r>
        <w:rPr>
          <w:rFonts w:hint="default"/>
          <w:lang w:val="en-US" w:eastAsia="zh-CN"/>
        </w:rPr>
        <w:t>合规审核：采购部负责审核软件许可证类型的合规性及商业条款。</w:t>
      </w:r>
    </w:p>
    <w:p w14:paraId="179BD295">
      <w:pPr>
        <w:pStyle w:val="29"/>
        <w:rPr>
          <w:rFonts w:hint="default"/>
          <w:lang w:val="en-US" w:eastAsia="zh-CN"/>
        </w:rPr>
      </w:pPr>
      <w:r>
        <w:rPr>
          <w:rFonts w:hint="default"/>
          <w:lang w:val="en-US" w:eastAsia="zh-CN"/>
        </w:rPr>
        <w:t>批准入库：所有评估审核通过后，由运维部负责人批准。软件包、许可证文件及相关文档由软件库管理员统一录入软件库，并建立初始台账。</w:t>
      </w:r>
    </w:p>
    <w:p w14:paraId="7AD4BD51">
      <w:pPr>
        <w:pStyle w:val="30"/>
        <w:bidi w:val="0"/>
        <w:rPr>
          <w:rFonts w:hint="default"/>
          <w:lang w:val="en-US" w:eastAsia="zh-CN"/>
        </w:rPr>
      </w:pPr>
      <w:bookmarkStart w:id="20" w:name="_Toc12859"/>
      <w:r>
        <w:rPr>
          <w:rFonts w:hint="default"/>
          <w:lang w:val="en-US" w:eastAsia="zh-CN"/>
        </w:rPr>
        <w:t>软件存储与版本控制</w:t>
      </w:r>
      <w:bookmarkEnd w:id="20"/>
    </w:p>
    <w:p w14:paraId="526FD158">
      <w:pPr>
        <w:pStyle w:val="29"/>
        <w:rPr>
          <w:rFonts w:hint="default"/>
          <w:lang w:val="en-US" w:eastAsia="zh-CN"/>
        </w:rPr>
      </w:pPr>
      <w:r>
        <w:rPr>
          <w:rFonts w:hint="default"/>
          <w:lang w:val="en-US" w:eastAsia="zh-CN"/>
        </w:rPr>
        <w:t>集中存储：所有软件安装包必须存放于指定的软件库服务器中，并进行病毒扫描。</w:t>
      </w:r>
    </w:p>
    <w:p w14:paraId="32D6FD5E">
      <w:pPr>
        <w:pStyle w:val="29"/>
        <w:rPr>
          <w:rFonts w:hint="default"/>
          <w:lang w:val="en-US" w:eastAsia="zh-CN"/>
        </w:rPr>
      </w:pPr>
      <w:r>
        <w:rPr>
          <w:rFonts w:hint="default"/>
          <w:lang w:val="en-US" w:eastAsia="zh-CN"/>
        </w:rPr>
        <w:t>版本管理：软件库中每个软件均需标识清晰的版本号。对已部署的基线版本进行锁定，任何升级需遵循变更管理流程。</w:t>
      </w:r>
    </w:p>
    <w:p w14:paraId="700048E6">
      <w:pPr>
        <w:pStyle w:val="29"/>
        <w:rPr>
          <w:rFonts w:hint="default"/>
          <w:lang w:val="en-US" w:eastAsia="zh-CN"/>
        </w:rPr>
      </w:pPr>
      <w:r>
        <w:rPr>
          <w:rFonts w:hint="default"/>
          <w:lang w:val="en-US" w:eastAsia="zh-CN"/>
        </w:rPr>
        <w:t>元数据记录：每个软件条目必须记录名称、版本、供应商、引入日期、许可证信息、MD5校验码、存放路径及负责人等元数据。</w:t>
      </w:r>
    </w:p>
    <w:p w14:paraId="06025830">
      <w:pPr>
        <w:pStyle w:val="30"/>
        <w:bidi w:val="0"/>
        <w:rPr>
          <w:rFonts w:hint="default"/>
          <w:lang w:val="en-US" w:eastAsia="zh-CN"/>
        </w:rPr>
      </w:pPr>
      <w:bookmarkStart w:id="21" w:name="_Toc13683"/>
      <w:r>
        <w:rPr>
          <w:rFonts w:hint="default"/>
          <w:lang w:val="en-US" w:eastAsia="zh-CN"/>
        </w:rPr>
        <w:t>软件发布与部署</w:t>
      </w:r>
      <w:bookmarkEnd w:id="21"/>
    </w:p>
    <w:p w14:paraId="67DE42AF">
      <w:pPr>
        <w:pStyle w:val="29"/>
        <w:rPr>
          <w:rFonts w:hint="default"/>
          <w:lang w:val="en-US" w:eastAsia="zh-CN"/>
        </w:rPr>
      </w:pPr>
      <w:r>
        <w:rPr>
          <w:rFonts w:hint="default"/>
          <w:lang w:val="en-US" w:eastAsia="zh-CN"/>
        </w:rPr>
        <w:t>申请与审批：软件部署必须经过正式的发布流程审批。部署至生产环境的软件必须是软件库中的基线版本。</w:t>
      </w:r>
    </w:p>
    <w:p w14:paraId="51443997">
      <w:pPr>
        <w:pStyle w:val="29"/>
        <w:rPr>
          <w:rFonts w:hint="default"/>
          <w:lang w:val="en-US" w:eastAsia="zh-CN"/>
        </w:rPr>
      </w:pPr>
      <w:r>
        <w:rPr>
          <w:rFonts w:hint="default"/>
          <w:lang w:val="en-US" w:eastAsia="zh-CN"/>
        </w:rPr>
        <w:t>来源唯一：所有环境的软件部署，其安装包必须来源于软件库，禁止使用其他来源的安装包。</w:t>
      </w:r>
    </w:p>
    <w:p w14:paraId="12ADB394">
      <w:pPr>
        <w:pStyle w:val="29"/>
        <w:rPr>
          <w:rFonts w:hint="default"/>
          <w:lang w:val="en-US" w:eastAsia="zh-CN"/>
        </w:rPr>
      </w:pPr>
      <w:r>
        <w:rPr>
          <w:rFonts w:hint="default"/>
          <w:lang w:val="en-US" w:eastAsia="zh-CN"/>
        </w:rPr>
        <w:t>记录追踪：每次软件发布与部署均需记录，确保部署行为可追溯。</w:t>
      </w:r>
    </w:p>
    <w:p w14:paraId="6629004D">
      <w:pPr>
        <w:pStyle w:val="30"/>
        <w:bidi w:val="0"/>
        <w:rPr>
          <w:rFonts w:hint="default"/>
          <w:lang w:val="en-US" w:eastAsia="zh-CN"/>
        </w:rPr>
      </w:pPr>
      <w:bookmarkStart w:id="22" w:name="_Toc12037"/>
      <w:r>
        <w:rPr>
          <w:rFonts w:hint="default"/>
          <w:lang w:val="en-US" w:eastAsia="zh-CN"/>
        </w:rPr>
        <w:t>软件维护与退役</w:t>
      </w:r>
      <w:bookmarkEnd w:id="22"/>
    </w:p>
    <w:p w14:paraId="33890039">
      <w:pPr>
        <w:pStyle w:val="29"/>
        <w:rPr>
          <w:rFonts w:hint="default"/>
          <w:lang w:val="en-US" w:eastAsia="zh-CN"/>
        </w:rPr>
      </w:pPr>
      <w:r>
        <w:rPr>
          <w:rFonts w:hint="default"/>
          <w:lang w:val="en-US" w:eastAsia="zh-CN"/>
        </w:rPr>
        <w:t>更新与升级：软件升级版本需重新执行引入与入库流程。紧急补丁可走快速通道，但必须事后补全手续并通知质量部。</w:t>
      </w:r>
    </w:p>
    <w:p w14:paraId="2E33D374">
      <w:pPr>
        <w:pStyle w:val="29"/>
        <w:rPr>
          <w:rFonts w:hint="default"/>
          <w:lang w:val="en-US" w:eastAsia="zh-CN"/>
        </w:rPr>
      </w:pPr>
      <w:r>
        <w:rPr>
          <w:rFonts w:hint="default"/>
          <w:lang w:val="en-US" w:eastAsia="zh-CN"/>
        </w:rPr>
        <w:t>定期盘点：每半年对软件库内的软件资产进行一次全面盘点，核对实物（安装包）与台账（许可证数量）的一致性。</w:t>
      </w:r>
    </w:p>
    <w:p w14:paraId="34EEA6D7">
      <w:pPr>
        <w:pStyle w:val="29"/>
        <w:rPr>
          <w:rFonts w:hint="default"/>
          <w:lang w:val="en-US" w:eastAsia="zh-CN"/>
        </w:rPr>
      </w:pPr>
      <w:r>
        <w:rPr>
          <w:rFonts w:hint="default"/>
          <w:lang w:val="en-US" w:eastAsia="zh-CN"/>
        </w:rPr>
        <w:t>退役处理：对已停止技术支撑、存在严重安全漏洞或不再使用的软件，由运维部发起退役申请，经批准后，将其移至软件库的历史归档区，并更新资产状态。</w:t>
      </w:r>
    </w:p>
    <w:p w14:paraId="11AA3CA2">
      <w:pPr>
        <w:pStyle w:val="30"/>
        <w:bidi w:val="0"/>
        <w:rPr>
          <w:rFonts w:hint="default"/>
          <w:lang w:val="en-US" w:eastAsia="zh-CN"/>
        </w:rPr>
      </w:pPr>
      <w:bookmarkStart w:id="23" w:name="_Toc20427"/>
      <w:r>
        <w:rPr>
          <w:rFonts w:hint="default"/>
          <w:lang w:val="en-US" w:eastAsia="zh-CN"/>
        </w:rPr>
        <w:t>软件库备份与访问策略</w:t>
      </w:r>
      <w:bookmarkEnd w:id="23"/>
    </w:p>
    <w:p w14:paraId="2DFC7D77">
      <w:pPr>
        <w:pStyle w:val="29"/>
        <w:rPr>
          <w:rFonts w:hint="default"/>
          <w:lang w:val="en-US" w:eastAsia="zh-CN"/>
        </w:rPr>
      </w:pPr>
      <w:r>
        <w:rPr>
          <w:rFonts w:hint="default"/>
          <w:lang w:val="en-US" w:eastAsia="zh-CN"/>
        </w:rPr>
        <w:t>为保障软件库数据的安全性、可用性与可恢复性，明确软件资产的访问权限与操作边界，特制定本策略。</w:t>
      </w:r>
    </w:p>
    <w:p w14:paraId="7BBC14C2">
      <w:pPr>
        <w:pStyle w:val="31"/>
        <w:bidi w:val="0"/>
        <w:rPr>
          <w:rFonts w:hint="default"/>
          <w:lang w:val="en-US" w:eastAsia="zh-CN"/>
        </w:rPr>
      </w:pPr>
      <w:bookmarkStart w:id="24" w:name="_Toc16246"/>
      <w:r>
        <w:rPr>
          <w:rFonts w:hint="default"/>
          <w:lang w:val="en-US" w:eastAsia="zh-CN"/>
        </w:rPr>
        <w:t>软件库备份策略</w:t>
      </w:r>
      <w:bookmarkEnd w:id="24"/>
    </w:p>
    <w:p w14:paraId="51EFB5F2">
      <w:pPr>
        <w:pStyle w:val="29"/>
        <w:numPr>
          <w:ilvl w:val="0"/>
          <w:numId w:val="4"/>
        </w:numPr>
        <w:ind w:left="425" w:leftChars="0" w:hanging="425" w:firstLineChars="0"/>
        <w:rPr>
          <w:rFonts w:hint="default"/>
          <w:lang w:val="en-US" w:eastAsia="zh-CN"/>
        </w:rPr>
      </w:pPr>
      <w:r>
        <w:rPr>
          <w:rFonts w:hint="default"/>
          <w:lang w:val="en-US" w:eastAsia="zh-CN"/>
        </w:rPr>
        <w:t>备份范围</w:t>
      </w:r>
    </w:p>
    <w:p w14:paraId="3B95FA91">
      <w:pPr>
        <w:pStyle w:val="29"/>
        <w:rPr>
          <w:rFonts w:hint="default"/>
          <w:lang w:val="en-US" w:eastAsia="zh-CN"/>
        </w:rPr>
      </w:pPr>
      <w:r>
        <w:rPr>
          <w:rFonts w:hint="default"/>
          <w:lang w:val="en-US" w:eastAsia="zh-CN"/>
        </w:rPr>
        <w:t>应对软件库中的全部内容进行备份，包括但不限于：</w:t>
      </w:r>
    </w:p>
    <w:p w14:paraId="5E44428F">
      <w:pPr>
        <w:pStyle w:val="29"/>
        <w:rPr>
          <w:rFonts w:hint="default"/>
          <w:lang w:val="en-US" w:eastAsia="zh-CN"/>
        </w:rPr>
      </w:pPr>
      <w:r>
        <w:rPr>
          <w:rFonts w:hint="default"/>
          <w:lang w:val="en-US" w:eastAsia="zh-CN"/>
        </w:rPr>
        <w:t>软件安装包文件；</w:t>
      </w:r>
    </w:p>
    <w:p w14:paraId="7ACFDDDD">
      <w:pPr>
        <w:pStyle w:val="29"/>
        <w:rPr>
          <w:rFonts w:hint="default"/>
          <w:lang w:val="en-US" w:eastAsia="zh-CN"/>
        </w:rPr>
      </w:pPr>
      <w:r>
        <w:rPr>
          <w:rFonts w:hint="default"/>
          <w:lang w:val="en-US" w:eastAsia="zh-CN"/>
        </w:rPr>
        <w:t>许可证文件及授权文档；</w:t>
      </w:r>
    </w:p>
    <w:p w14:paraId="091FDCF3">
      <w:pPr>
        <w:pStyle w:val="29"/>
        <w:rPr>
          <w:rFonts w:hint="default"/>
          <w:lang w:val="en-US" w:eastAsia="zh-CN"/>
        </w:rPr>
      </w:pPr>
      <w:r>
        <w:rPr>
          <w:rFonts w:hint="default"/>
          <w:lang w:val="en-US" w:eastAsia="zh-CN"/>
        </w:rPr>
        <w:t>软件元数据记录（版本、MD5校验码、引入日期、供应商信息等）；</w:t>
      </w:r>
    </w:p>
    <w:p w14:paraId="7DC6BDF4">
      <w:pPr>
        <w:pStyle w:val="29"/>
        <w:rPr>
          <w:rFonts w:hint="default"/>
          <w:lang w:val="en-US" w:eastAsia="zh-CN"/>
        </w:rPr>
      </w:pPr>
      <w:r>
        <w:rPr>
          <w:rFonts w:hint="default"/>
          <w:lang w:val="en-US" w:eastAsia="zh-CN"/>
        </w:rPr>
        <w:t>软件库目录结构与访问控制配置。</w:t>
      </w:r>
    </w:p>
    <w:p w14:paraId="132D2AF2">
      <w:pPr>
        <w:pStyle w:val="29"/>
        <w:numPr>
          <w:ilvl w:val="0"/>
          <w:numId w:val="4"/>
        </w:numPr>
        <w:ind w:left="425" w:leftChars="0" w:hanging="425" w:firstLineChars="0"/>
        <w:rPr>
          <w:rFonts w:hint="default"/>
          <w:lang w:val="en-US" w:eastAsia="zh-CN"/>
        </w:rPr>
      </w:pPr>
      <w:r>
        <w:rPr>
          <w:rFonts w:hint="default"/>
          <w:lang w:val="en-US" w:eastAsia="zh-CN"/>
        </w:rPr>
        <w:t>备份方式：</w:t>
      </w:r>
    </w:p>
    <w:p w14:paraId="1229B931">
      <w:pPr>
        <w:pStyle w:val="29"/>
        <w:rPr>
          <w:rFonts w:hint="default"/>
          <w:lang w:val="en-US" w:eastAsia="zh-CN"/>
        </w:rPr>
      </w:pPr>
      <w:r>
        <w:rPr>
          <w:rFonts w:hint="default"/>
          <w:lang w:val="en-US" w:eastAsia="zh-CN"/>
        </w:rPr>
        <w:t>采用全量备份与增量备份相结合的方式。</w:t>
      </w:r>
    </w:p>
    <w:p w14:paraId="3C6AB1F5">
      <w:pPr>
        <w:pStyle w:val="29"/>
        <w:rPr>
          <w:rFonts w:hint="default"/>
          <w:lang w:val="en-US" w:eastAsia="zh-CN"/>
        </w:rPr>
      </w:pPr>
      <w:r>
        <w:rPr>
          <w:rFonts w:hint="default"/>
          <w:lang w:val="en-US" w:eastAsia="zh-CN"/>
        </w:rPr>
        <w:t>每周执行一次全量备份，每日执行一次增量备份。</w:t>
      </w:r>
    </w:p>
    <w:p w14:paraId="1128E936">
      <w:pPr>
        <w:pStyle w:val="29"/>
        <w:rPr>
          <w:rFonts w:hint="default"/>
          <w:lang w:val="en-US" w:eastAsia="zh-CN"/>
        </w:rPr>
      </w:pPr>
      <w:r>
        <w:rPr>
          <w:rFonts w:hint="default"/>
          <w:lang w:val="en-US" w:eastAsia="zh-CN"/>
        </w:rPr>
        <w:t>备份文件应存储于与软件库物理分离的专用存储区域或异地存储节点。</w:t>
      </w:r>
    </w:p>
    <w:p w14:paraId="419E6E06">
      <w:pPr>
        <w:pStyle w:val="29"/>
        <w:numPr>
          <w:ilvl w:val="0"/>
          <w:numId w:val="4"/>
        </w:numPr>
        <w:ind w:left="425" w:leftChars="0" w:hanging="425" w:firstLineChars="0"/>
        <w:rPr>
          <w:rFonts w:hint="default"/>
          <w:lang w:val="en-US" w:eastAsia="zh-CN"/>
        </w:rPr>
      </w:pPr>
      <w:r>
        <w:rPr>
          <w:rFonts w:hint="default"/>
          <w:lang w:val="en-US" w:eastAsia="zh-CN"/>
        </w:rPr>
        <w:t>备份保留周期：</w:t>
      </w:r>
    </w:p>
    <w:p w14:paraId="3D942DC6">
      <w:pPr>
        <w:pStyle w:val="29"/>
        <w:rPr>
          <w:rFonts w:hint="default"/>
          <w:lang w:val="en-US" w:eastAsia="zh-CN"/>
        </w:rPr>
      </w:pPr>
      <w:r>
        <w:rPr>
          <w:rFonts w:hint="default"/>
          <w:lang w:val="en-US" w:eastAsia="zh-CN"/>
        </w:rPr>
        <w:t>每日增量备份保留周期为30天。</w:t>
      </w:r>
    </w:p>
    <w:p w14:paraId="1D5D3334">
      <w:pPr>
        <w:pStyle w:val="29"/>
        <w:rPr>
          <w:rFonts w:hint="default"/>
          <w:lang w:val="en-US" w:eastAsia="zh-CN"/>
        </w:rPr>
      </w:pPr>
      <w:r>
        <w:rPr>
          <w:rFonts w:hint="default"/>
          <w:lang w:val="en-US" w:eastAsia="zh-CN"/>
        </w:rPr>
        <w:t>每周全量备份保留周期为12个月。</w:t>
      </w:r>
    </w:p>
    <w:p w14:paraId="12582894">
      <w:pPr>
        <w:pStyle w:val="29"/>
        <w:rPr>
          <w:rFonts w:hint="default"/>
          <w:lang w:val="en-US" w:eastAsia="zh-CN"/>
        </w:rPr>
      </w:pPr>
      <w:r>
        <w:rPr>
          <w:rFonts w:hint="default"/>
          <w:lang w:val="en-US" w:eastAsia="zh-CN"/>
        </w:rPr>
        <w:t>年度全量备份应进行归档处理，保留周期为3年。</w:t>
      </w:r>
    </w:p>
    <w:p w14:paraId="66733FB8">
      <w:pPr>
        <w:pStyle w:val="29"/>
        <w:numPr>
          <w:ilvl w:val="0"/>
          <w:numId w:val="4"/>
        </w:numPr>
        <w:ind w:left="425" w:leftChars="0" w:hanging="425" w:firstLineChars="0"/>
        <w:rPr>
          <w:rFonts w:hint="default"/>
          <w:lang w:val="en-US" w:eastAsia="zh-CN"/>
        </w:rPr>
      </w:pPr>
      <w:r>
        <w:rPr>
          <w:rFonts w:hint="default"/>
          <w:lang w:val="en-US" w:eastAsia="zh-CN"/>
        </w:rPr>
        <w:t>备份验证：</w:t>
      </w:r>
    </w:p>
    <w:p w14:paraId="501AC74E">
      <w:pPr>
        <w:pStyle w:val="29"/>
        <w:rPr>
          <w:rFonts w:hint="default"/>
          <w:lang w:val="en-US" w:eastAsia="zh-CN"/>
        </w:rPr>
      </w:pPr>
      <w:r>
        <w:rPr>
          <w:rFonts w:hint="default"/>
          <w:lang w:val="en-US" w:eastAsia="zh-CN"/>
        </w:rPr>
        <w:t>每月至少对备份文件的完整性和可恢复性进行一次随机抽样验证。</w:t>
      </w:r>
    </w:p>
    <w:p w14:paraId="581E980D">
      <w:pPr>
        <w:pStyle w:val="29"/>
        <w:rPr>
          <w:rFonts w:hint="default"/>
          <w:lang w:val="en-US" w:eastAsia="zh-CN"/>
        </w:rPr>
      </w:pPr>
      <w:r>
        <w:rPr>
          <w:rFonts w:hint="default"/>
          <w:lang w:val="en-US" w:eastAsia="zh-CN"/>
        </w:rPr>
        <w:t>每半年至少执行一次完整的备份恢复演练，并形成《备份恢复验证报告》。</w:t>
      </w:r>
    </w:p>
    <w:p w14:paraId="6CB71784">
      <w:pPr>
        <w:pStyle w:val="29"/>
        <w:numPr>
          <w:ilvl w:val="0"/>
          <w:numId w:val="4"/>
        </w:numPr>
        <w:ind w:left="425" w:leftChars="0" w:hanging="425" w:firstLineChars="0"/>
        <w:rPr>
          <w:rFonts w:hint="default"/>
          <w:lang w:val="en-US" w:eastAsia="zh-CN"/>
        </w:rPr>
      </w:pPr>
      <w:r>
        <w:rPr>
          <w:rFonts w:hint="default"/>
          <w:lang w:val="en-US" w:eastAsia="zh-CN"/>
        </w:rPr>
        <w:t>备份责任：</w:t>
      </w:r>
    </w:p>
    <w:p w14:paraId="32154925">
      <w:pPr>
        <w:pStyle w:val="29"/>
        <w:rPr>
          <w:rFonts w:hint="default"/>
          <w:lang w:val="en-US" w:eastAsia="zh-CN"/>
        </w:rPr>
      </w:pPr>
      <w:r>
        <w:rPr>
          <w:rFonts w:hint="default"/>
          <w:lang w:val="en-US" w:eastAsia="zh-CN"/>
        </w:rPr>
        <w:t>运维部负责备份策略的执行与日常监控。</w:t>
      </w:r>
    </w:p>
    <w:p w14:paraId="44C89831">
      <w:pPr>
        <w:pStyle w:val="29"/>
        <w:rPr>
          <w:rFonts w:hint="default"/>
          <w:lang w:val="en-US" w:eastAsia="zh-CN"/>
        </w:rPr>
      </w:pPr>
      <w:r>
        <w:rPr>
          <w:rFonts w:hint="default"/>
          <w:lang w:val="en-US" w:eastAsia="zh-CN"/>
        </w:rPr>
        <w:t>质量部负责备份有效性的定期审计。</w:t>
      </w:r>
    </w:p>
    <w:p w14:paraId="2FD0F627">
      <w:pPr>
        <w:pStyle w:val="31"/>
        <w:bidi w:val="0"/>
        <w:rPr>
          <w:rFonts w:hint="default"/>
          <w:lang w:val="en-US" w:eastAsia="zh-CN"/>
        </w:rPr>
      </w:pPr>
      <w:bookmarkStart w:id="25" w:name="_Toc19246"/>
      <w:r>
        <w:rPr>
          <w:rFonts w:hint="default"/>
          <w:lang w:val="en-US" w:eastAsia="zh-CN"/>
        </w:rPr>
        <w:t>软件库访问策略</w:t>
      </w:r>
      <w:bookmarkEnd w:id="25"/>
    </w:p>
    <w:p w14:paraId="3ABB1D11">
      <w:pPr>
        <w:pStyle w:val="29"/>
        <w:numPr>
          <w:ilvl w:val="0"/>
          <w:numId w:val="5"/>
        </w:numPr>
        <w:ind w:left="425" w:leftChars="0" w:hanging="425" w:firstLineChars="0"/>
        <w:rPr>
          <w:rFonts w:hint="default"/>
          <w:lang w:val="en-US" w:eastAsia="zh-CN"/>
        </w:rPr>
      </w:pPr>
      <w:r>
        <w:rPr>
          <w:rFonts w:hint="default"/>
          <w:lang w:val="en-US" w:eastAsia="zh-CN"/>
        </w:rPr>
        <w:t>访问权限分级</w:t>
      </w:r>
    </w:p>
    <w:p w14:paraId="47BD188E">
      <w:pPr>
        <w:pStyle w:val="29"/>
        <w:rPr>
          <w:rFonts w:hint="default"/>
          <w:lang w:val="en-US" w:eastAsia="zh-CN"/>
        </w:rPr>
      </w:pPr>
      <w:r>
        <w:rPr>
          <w:rFonts w:hint="default"/>
          <w:lang w:val="en-US" w:eastAsia="zh-CN"/>
        </w:rPr>
        <w:t>依据岗位职责与业务需求，将软件库访问权限划分为三个级别：</w:t>
      </w:r>
    </w:p>
    <w:tbl>
      <w:tblPr>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54"/>
        <w:gridCol w:w="2994"/>
        <w:gridCol w:w="4347"/>
      </w:tblGrid>
      <w:tr w14:paraId="03760F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noWrap w:val="0"/>
            <w:tcMar>
              <w:top w:w="120" w:type="dxa"/>
              <w:left w:w="-1" w:type="dxa"/>
              <w:bottom w:w="120" w:type="dxa"/>
              <w:right w:w="192" w:type="dxa"/>
            </w:tcMar>
            <w:vAlign w:val="center"/>
          </w:tcPr>
          <w:p w14:paraId="1A36D63C">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bdr w:val="none" w:color="auto" w:sz="0" w:space="0"/>
                <w:lang w:val="en-US" w:eastAsia="zh-CN" w:bidi="ar"/>
              </w:rPr>
              <w:t>权限级别</w:t>
            </w:r>
          </w:p>
        </w:tc>
        <w:tc>
          <w:tcPr>
            <w:tcW w:w="0" w:type="auto"/>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610F8F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bdr w:val="none" w:color="auto" w:sz="0" w:space="0"/>
                <w:lang w:val="en-US" w:eastAsia="zh-CN" w:bidi="ar"/>
              </w:rPr>
              <w:t>适用角色</w:t>
            </w:r>
          </w:p>
        </w:tc>
        <w:tc>
          <w:tcPr>
            <w:tcW w:w="4347" w:type="dxa"/>
            <w:tcBorders>
              <w:top w:val="single" w:color="auto" w:sz="12" w:space="0"/>
              <w:left w:val="single" w:color="auto" w:sz="4" w:space="0"/>
              <w:bottom w:val="nil"/>
              <w:right w:val="single" w:color="auto" w:sz="12" w:space="0"/>
            </w:tcBorders>
            <w:shd w:val="clear" w:color="auto" w:fill="auto"/>
            <w:noWrap w:val="0"/>
            <w:tcMar>
              <w:top w:w="120" w:type="dxa"/>
              <w:left w:w="192" w:type="dxa"/>
              <w:bottom w:w="120" w:type="dxa"/>
              <w:right w:w="192" w:type="dxa"/>
            </w:tcMar>
            <w:vAlign w:val="center"/>
          </w:tcPr>
          <w:p w14:paraId="6DE3D90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bdr w:val="none" w:color="auto" w:sz="0" w:space="0"/>
                <w:lang w:val="en-US" w:eastAsia="zh-CN" w:bidi="ar"/>
              </w:rPr>
              <w:t>允许操作</w:t>
            </w:r>
          </w:p>
        </w:tc>
      </w:tr>
      <w:tr w14:paraId="20920C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7DDAE30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管理员</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1D72B0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软件库管理员</w:t>
            </w:r>
          </w:p>
        </w:tc>
        <w:tc>
          <w:tcPr>
            <w:tcW w:w="4347"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418755F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读写、删除、审批、权限配置、备份恢复</w:t>
            </w:r>
          </w:p>
        </w:tc>
      </w:tr>
      <w:tr w14:paraId="71694E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78B92B8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发布者</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056D28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运维工程师、发布负责人</w:t>
            </w:r>
          </w:p>
        </w:tc>
        <w:tc>
          <w:tcPr>
            <w:tcW w:w="4347"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6B57631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上传、下载、版本更新、部署申请</w:t>
            </w:r>
          </w:p>
        </w:tc>
      </w:tr>
      <w:tr w14:paraId="3E5F9C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54" w:type="dxa"/>
            <w:tcBorders>
              <w:top w:val="single" w:color="auto" w:sz="4" w:space="0"/>
              <w:left w:val="single" w:color="auto" w:sz="12" w:space="0"/>
              <w:bottom w:val="single" w:color="auto" w:sz="12" w:space="0"/>
              <w:right w:val="nil"/>
            </w:tcBorders>
            <w:shd w:val="clear" w:color="auto" w:fill="auto"/>
            <w:noWrap w:val="0"/>
            <w:tcMar>
              <w:top w:w="120" w:type="dxa"/>
              <w:left w:w="-1" w:type="dxa"/>
              <w:bottom w:w="120" w:type="dxa"/>
              <w:right w:w="192" w:type="dxa"/>
            </w:tcMar>
            <w:vAlign w:val="center"/>
          </w:tcPr>
          <w:p w14:paraId="53B7A3E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只读用户</w:t>
            </w:r>
          </w:p>
        </w:tc>
        <w:tc>
          <w:tcPr>
            <w:tcW w:w="2994"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4FDFD59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其他经授权的技术人员</w:t>
            </w:r>
          </w:p>
        </w:tc>
        <w:tc>
          <w:tcPr>
            <w:tcW w:w="4347" w:type="dxa"/>
            <w:tcBorders>
              <w:top w:val="single" w:color="auto" w:sz="4" w:space="0"/>
              <w:left w:val="single" w:color="auto" w:sz="4" w:space="0"/>
              <w:bottom w:val="single" w:color="auto" w:sz="12" w:space="0"/>
              <w:right w:val="single" w:color="auto" w:sz="12" w:space="0"/>
            </w:tcBorders>
            <w:shd w:val="clear" w:color="auto" w:fill="auto"/>
            <w:noWrap w:val="0"/>
            <w:tcMar>
              <w:top w:w="120" w:type="dxa"/>
              <w:left w:w="192" w:type="dxa"/>
              <w:bottom w:w="120" w:type="dxa"/>
              <w:right w:w="-1" w:type="dxa"/>
            </w:tcMar>
            <w:vAlign w:val="center"/>
          </w:tcPr>
          <w:p w14:paraId="2DA6CB0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查询、下载（受许可约束）</w:t>
            </w:r>
          </w:p>
        </w:tc>
      </w:tr>
    </w:tbl>
    <w:p w14:paraId="24487375">
      <w:pPr>
        <w:pStyle w:val="29"/>
        <w:numPr>
          <w:ilvl w:val="0"/>
          <w:numId w:val="5"/>
        </w:numPr>
        <w:ind w:left="425" w:leftChars="0" w:hanging="425" w:firstLineChars="0"/>
        <w:rPr>
          <w:rFonts w:hint="default"/>
          <w:lang w:val="en-US" w:eastAsia="zh-CN"/>
        </w:rPr>
      </w:pPr>
      <w:r>
        <w:rPr>
          <w:rFonts w:hint="default"/>
          <w:lang w:val="en-US" w:eastAsia="zh-CN"/>
        </w:rPr>
        <w:t>最小权限原则：</w:t>
      </w:r>
    </w:p>
    <w:p w14:paraId="43704013">
      <w:pPr>
        <w:pStyle w:val="29"/>
        <w:rPr>
          <w:rFonts w:hint="default"/>
          <w:lang w:val="en-US" w:eastAsia="zh-CN"/>
        </w:rPr>
      </w:pPr>
      <w:r>
        <w:rPr>
          <w:rFonts w:hint="default"/>
          <w:lang w:val="en-US" w:eastAsia="zh-CN"/>
        </w:rPr>
        <w:t>所有用户默认无任何访问权限，权限申请须基于明确的业务需求。</w:t>
      </w:r>
    </w:p>
    <w:p w14:paraId="2D862398">
      <w:pPr>
        <w:pStyle w:val="29"/>
        <w:rPr>
          <w:rFonts w:hint="default"/>
          <w:lang w:val="en-US" w:eastAsia="zh-CN"/>
        </w:rPr>
      </w:pPr>
      <w:r>
        <w:rPr>
          <w:rFonts w:hint="default"/>
          <w:lang w:val="en-US" w:eastAsia="zh-CN"/>
        </w:rPr>
        <w:t>权限申请由运维部部长审批，敏感操作（删除、权限变更）须经运维部部长与质量部会签。</w:t>
      </w:r>
      <w:r>
        <w:rPr>
          <w:rFonts w:hint="eastAsia"/>
          <w:lang w:val="en-US" w:eastAsia="zh-CN"/>
        </w:rPr>
      </w:r>
      <w:r>
        <w:rPr>
          <w:rFonts w:hint="default"/>
          <w:lang w:val="en-US" w:eastAsia="zh-CN"/>
        </w:rPr>
      </w:r>
      <w:r>
        <w:rPr>
          <w:rFonts w:hint="eastAsia"/>
          <w:lang w:val="en-US" w:eastAsia="zh-CN"/>
        </w:rPr>
      </w:r>
      <w:r>
        <w:rPr>
          <w:rFonts w:hint="default"/>
          <w:lang w:val="en-US" w:eastAsia="zh-CN"/>
        </w:rPr>
      </w:r>
    </w:p>
    <w:p w14:paraId="4B3562C4">
      <w:pPr>
        <w:pStyle w:val="29"/>
        <w:numPr>
          <w:ilvl w:val="0"/>
          <w:numId w:val="5"/>
        </w:numPr>
        <w:ind w:left="425" w:leftChars="0" w:hanging="425" w:firstLineChars="0"/>
        <w:rPr>
          <w:rFonts w:hint="default"/>
          <w:lang w:val="en-US" w:eastAsia="zh-CN"/>
        </w:rPr>
      </w:pPr>
      <w:r>
        <w:rPr>
          <w:rFonts w:hint="default"/>
          <w:lang w:val="en-US" w:eastAsia="zh-CN"/>
        </w:rPr>
        <w:t>访问控制机制：</w:t>
      </w:r>
    </w:p>
    <w:p w14:paraId="15AF4CA8">
      <w:pPr>
        <w:pStyle w:val="29"/>
        <w:rPr>
          <w:rFonts w:hint="default"/>
          <w:lang w:val="en-US" w:eastAsia="zh-CN"/>
        </w:rPr>
      </w:pPr>
      <w:r>
        <w:rPr>
          <w:rFonts w:hint="default"/>
          <w:lang w:val="en-US" w:eastAsia="zh-CN"/>
        </w:rPr>
        <w:t>软件库应启用身份认证与访问控制功能（如LDAP集成、双因素认证）。</w:t>
      </w:r>
    </w:p>
    <w:p w14:paraId="062F2FF0">
      <w:pPr>
        <w:pStyle w:val="29"/>
        <w:rPr>
          <w:rFonts w:hint="default"/>
          <w:lang w:val="en-US" w:eastAsia="zh-CN"/>
        </w:rPr>
      </w:pPr>
      <w:r>
        <w:rPr>
          <w:rFonts w:hint="default"/>
          <w:lang w:val="en-US" w:eastAsia="zh-CN"/>
        </w:rPr>
        <w:t>对L3及以上级别（机密级）软件资产，禁止直接批量下载，须单独审批。</w:t>
      </w:r>
    </w:p>
    <w:p w14:paraId="2677294C">
      <w:pPr>
        <w:pStyle w:val="29"/>
        <w:numPr>
          <w:ilvl w:val="0"/>
          <w:numId w:val="5"/>
        </w:numPr>
        <w:ind w:left="425" w:leftChars="0" w:hanging="425" w:firstLineChars="0"/>
        <w:rPr>
          <w:rFonts w:hint="default"/>
          <w:lang w:val="en-US" w:eastAsia="zh-CN"/>
        </w:rPr>
      </w:pPr>
      <w:r>
        <w:rPr>
          <w:rFonts w:hint="default"/>
          <w:lang w:val="en-US" w:eastAsia="zh-CN"/>
        </w:rPr>
        <w:t>操作审计：</w:t>
      </w:r>
    </w:p>
    <w:p w14:paraId="33CCD946">
      <w:pPr>
        <w:pStyle w:val="29"/>
        <w:rPr>
          <w:rFonts w:hint="default"/>
          <w:lang w:val="en-US" w:eastAsia="zh-CN"/>
        </w:rPr>
      </w:pPr>
      <w:r>
        <w:rPr>
          <w:rFonts w:hint="default"/>
          <w:lang w:val="en-US" w:eastAsia="zh-CN"/>
        </w:rPr>
        <w:t>所有访问操作（登录、上传、下载、删除、权限变更等）必须自动记录日志。</w:t>
      </w:r>
    </w:p>
    <w:p w14:paraId="267B26D2">
      <w:pPr>
        <w:pStyle w:val="29"/>
        <w:rPr>
          <w:rFonts w:hint="default"/>
          <w:lang w:val="en-US" w:eastAsia="zh-CN"/>
        </w:rPr>
      </w:pPr>
      <w:r>
        <w:rPr>
          <w:rFonts w:hint="default"/>
          <w:lang w:val="en-US" w:eastAsia="zh-CN"/>
        </w:rPr>
        <w:t>日志内容包括：操作人、操作时间、操作类型、对象名称、操作结果、客户端IP地址。</w:t>
      </w:r>
    </w:p>
    <w:p w14:paraId="304B51A1">
      <w:pPr>
        <w:pStyle w:val="29"/>
        <w:rPr>
          <w:rFonts w:hint="default"/>
          <w:lang w:val="en-US" w:eastAsia="zh-CN"/>
        </w:rPr>
      </w:pPr>
      <w:r>
        <w:rPr>
          <w:rFonts w:hint="default"/>
          <w:lang w:val="en-US" w:eastAsia="zh-CN"/>
        </w:rPr>
        <w:t>审计日志保留周期不少于12个月，每月由质量部进行合规审计。</w:t>
      </w:r>
    </w:p>
    <w:p w14:paraId="221E87D0">
      <w:pPr>
        <w:pStyle w:val="29"/>
        <w:numPr>
          <w:ilvl w:val="0"/>
          <w:numId w:val="5"/>
        </w:numPr>
        <w:ind w:left="425" w:leftChars="0" w:hanging="425" w:firstLineChars="0"/>
        <w:rPr>
          <w:rFonts w:hint="default"/>
          <w:lang w:val="en-US" w:eastAsia="zh-CN"/>
        </w:rPr>
      </w:pPr>
      <w:r>
        <w:rPr>
          <w:rFonts w:hint="default"/>
          <w:lang w:val="en-US" w:eastAsia="zh-CN"/>
        </w:rPr>
        <w:t>异常访问处理：</w:t>
      </w:r>
    </w:p>
    <w:p w14:paraId="182C9D63">
      <w:pPr>
        <w:pStyle w:val="29"/>
        <w:rPr>
          <w:rFonts w:hint="default"/>
          <w:lang w:val="en-US" w:eastAsia="zh-CN"/>
        </w:rPr>
      </w:pPr>
      <w:r>
        <w:rPr>
          <w:rFonts w:hint="default"/>
          <w:lang w:val="en-US" w:eastAsia="zh-CN"/>
        </w:rPr>
        <w:t>发现非授权访问、异常高频下载、非工作时间批量操作等行为，系统应自动告警。</w:t>
      </w:r>
    </w:p>
    <w:p w14:paraId="36E9A2A2">
      <w:pPr>
        <w:pStyle w:val="29"/>
        <w:rPr>
          <w:rFonts w:hint="default"/>
          <w:lang w:val="en-US" w:eastAsia="zh-CN"/>
        </w:rPr>
      </w:pPr>
      <w:r>
        <w:rPr>
          <w:rFonts w:hint="default"/>
          <w:lang w:val="en-US" w:eastAsia="zh-CN"/>
        </w:rPr>
        <w:t>运维部应在接到告警后1小时内进行初步研判，必要时立即冻结相关访问权限并启动调查。</w:t>
      </w:r>
    </w:p>
    <w:p w14:paraId="53E7E64D">
      <w:pPr>
        <w:pStyle w:val="30"/>
        <w:bidi w:val="0"/>
        <w:rPr>
          <w:rFonts w:hint="default"/>
          <w:lang w:val="en-US" w:eastAsia="zh-CN"/>
        </w:rPr>
      </w:pPr>
      <w:bookmarkStart w:id="26" w:name="_Toc26054"/>
      <w:r>
        <w:rPr>
          <w:rFonts w:hint="eastAsia"/>
          <w:lang w:val="en-US" w:eastAsia="zh-CN"/>
        </w:rPr>
        <w:t>考核指标</w:t>
      </w:r>
      <w:bookmarkEnd w:id="26"/>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1"/>
        <w:gridCol w:w="2049"/>
        <w:gridCol w:w="3427"/>
        <w:gridCol w:w="1107"/>
        <w:gridCol w:w="1094"/>
      </w:tblGrid>
      <w:tr w14:paraId="0774E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1" w:type="dxa"/>
          </w:tcPr>
          <w:p w14:paraId="216B59E9">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序号</w:t>
            </w:r>
          </w:p>
        </w:tc>
        <w:tc>
          <w:tcPr>
            <w:tcW w:w="2049" w:type="dxa"/>
          </w:tcPr>
          <w:p w14:paraId="5914F49C">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衡量指标</w:t>
            </w:r>
          </w:p>
        </w:tc>
        <w:tc>
          <w:tcPr>
            <w:tcW w:w="3427" w:type="dxa"/>
          </w:tcPr>
          <w:p w14:paraId="36BCE5EB">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指标计算说明</w:t>
            </w:r>
          </w:p>
        </w:tc>
        <w:tc>
          <w:tcPr>
            <w:tcW w:w="1107" w:type="dxa"/>
          </w:tcPr>
          <w:p w14:paraId="2370F379">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考核频次</w:t>
            </w:r>
          </w:p>
        </w:tc>
        <w:tc>
          <w:tcPr>
            <w:tcW w:w="1094" w:type="dxa"/>
          </w:tcPr>
          <w:p w14:paraId="5B8A3164">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目标值</w:t>
            </w:r>
          </w:p>
        </w:tc>
      </w:tr>
      <w:tr w14:paraId="08778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1" w:type="dxa"/>
          </w:tcPr>
          <w:p w14:paraId="0964B705">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1</w:t>
            </w:r>
          </w:p>
        </w:tc>
        <w:tc>
          <w:tcPr>
            <w:tcW w:w="2049" w:type="dxa"/>
          </w:tcPr>
          <w:p w14:paraId="54C7D317">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eastAsia="宋体"/>
                <w:sz w:val="21"/>
                <w:szCs w:val="21"/>
                <w:vertAlign w:val="baseline"/>
                <w:lang w:val="en-US" w:eastAsia="zh-CN"/>
              </w:rPr>
            </w:pPr>
            <w:r>
              <w:rPr>
                <w:rFonts w:hint="eastAsia"/>
                <w:sz w:val="21"/>
                <w:szCs w:val="21"/>
                <w:vertAlign w:val="baseline"/>
                <w:lang w:val="en-US" w:eastAsia="zh-CN"/>
              </w:rPr>
              <w:t>软件版本一致率</w:t>
            </w:r>
          </w:p>
        </w:tc>
        <w:tc>
          <w:tcPr>
            <w:tcW w:w="3427" w:type="dxa"/>
          </w:tcPr>
          <w:p w14:paraId="5B58585C">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eastAsia="宋体"/>
                <w:sz w:val="21"/>
                <w:szCs w:val="21"/>
                <w:vertAlign w:val="baseline"/>
                <w:lang w:val="en-US" w:eastAsia="zh-CN"/>
              </w:rPr>
            </w:pPr>
            <w:r>
              <w:rPr>
                <w:rFonts w:hint="eastAsia"/>
                <w:sz w:val="21"/>
                <w:szCs w:val="21"/>
                <w:vertAlign w:val="baseline"/>
                <w:lang w:val="en-US" w:eastAsia="zh-CN"/>
              </w:rPr>
              <w:t>（生产环境中与最终软件库版本一致的组件数/发布版本总数）*100%</w:t>
            </w:r>
          </w:p>
        </w:tc>
        <w:tc>
          <w:tcPr>
            <w:tcW w:w="1107" w:type="dxa"/>
          </w:tcPr>
          <w:p w14:paraId="70A25BCF">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年度</w:t>
            </w:r>
          </w:p>
        </w:tc>
        <w:tc>
          <w:tcPr>
            <w:tcW w:w="1094" w:type="dxa"/>
          </w:tcPr>
          <w:p w14:paraId="7396F1FC">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vertAlign w:val="baseline"/>
                <w:lang w:val="en-US" w:eastAsia="zh-CN"/>
              </w:rPr>
            </w:pPr>
            <w:r>
              <w:rPr>
                <w:rFonts w:hint="eastAsia" w:ascii="微软雅黑" w:hAnsi="微软雅黑" w:eastAsia="微软雅黑" w:cs="微软雅黑"/>
                <w:sz w:val="21"/>
                <w:szCs w:val="21"/>
                <w:vertAlign w:val="baseline"/>
                <w:lang w:val="en-US" w:eastAsia="zh-CN"/>
              </w:rPr>
              <w:t>≥95</w:t>
            </w:r>
            <w:r>
              <w:rPr>
                <w:rFonts w:hint="eastAsia"/>
                <w:sz w:val="21"/>
                <w:szCs w:val="21"/>
                <w:vertAlign w:val="baseline"/>
                <w:lang w:val="en-US" w:eastAsia="zh-CN"/>
              </w:rPr>
              <w:t>%</w:t>
            </w:r>
          </w:p>
        </w:tc>
      </w:tr>
    </w:tbl>
    <w:p w14:paraId="20BD4A87">
      <w:pPr>
        <w:pStyle w:val="29"/>
        <w:rPr>
          <w:rFonts w:hint="default"/>
          <w:lang w:val="en-US" w:eastAsia="zh-CN"/>
        </w:rPr>
      </w:pPr>
    </w:p>
    <w:p w14:paraId="5D38B24E">
      <w:pPr>
        <w:pStyle w:val="28"/>
        <w:keepNext w:val="0"/>
        <w:keepLines w:val="0"/>
        <w:pageBreakBefore w:val="0"/>
        <w:widowControl w:val="0"/>
        <w:kinsoku w:val="0"/>
        <w:wordWrap/>
        <w:overflowPunct/>
        <w:autoSpaceDE w:val="0"/>
        <w:autoSpaceDN w:val="0"/>
        <w:bidi w:val="0"/>
        <w:adjustRightInd w:val="0"/>
        <w:snapToGrid w:val="0"/>
        <w:textAlignment w:val="baseline"/>
        <w:rPr>
          <w:rStyle w:val="38"/>
          <w:rFonts w:hint="default" w:eastAsia="宋体"/>
          <w:lang w:val="en-US" w:eastAsia="zh-CN"/>
        </w:rPr>
      </w:pPr>
      <w:bookmarkStart w:id="27" w:name="bookmark3"/>
      <w:bookmarkEnd w:id="27"/>
      <w:bookmarkStart w:id="28" w:name="_Toc17424"/>
      <w:bookmarkStart w:id="29" w:name="_Toc13039"/>
      <w:r>
        <w:rPr>
          <w:rStyle w:val="38"/>
          <w:rFonts w:hint="eastAsia" w:eastAsia="宋体"/>
          <w:lang w:val="en-US" w:eastAsia="zh-CN"/>
        </w:rPr>
        <w:t>附则</w:t>
      </w:r>
      <w:bookmarkEnd w:id="28"/>
      <w:bookmarkEnd w:id="29"/>
    </w:p>
    <w:p w14:paraId="065A31A3">
      <w:pPr>
        <w:keepNext w:val="0"/>
        <w:keepLines w:val="0"/>
        <w:pageBreakBefore w:val="0"/>
        <w:widowControl w:val="0"/>
        <w:numPr>
          <w:ilvl w:val="0"/>
          <w:numId w:val="6"/>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本制度最终解释权和修订权归</w:t>
      </w:r>
      <w:r>
        <w:rPr>
          <w:rFonts w:hint="eastAsia" w:ascii="宋体" w:hAnsi="宋体" w:cs="宋体"/>
          <w:spacing w:val="-1"/>
          <w:sz w:val="24"/>
          <w:szCs w:val="24"/>
          <w:lang w:val="en-US" w:eastAsia="zh-CN"/>
        </w:rPr>
        <w:t>运维部</w:t>
      </w:r>
      <w:r>
        <w:rPr>
          <w:rFonts w:ascii="宋体" w:hAnsi="宋体" w:eastAsia="宋体" w:cs="宋体"/>
          <w:spacing w:val="-1"/>
          <w:sz w:val="24"/>
          <w:szCs w:val="24"/>
        </w:rPr>
        <w:t>。</w:t>
      </w:r>
    </w:p>
    <w:p w14:paraId="7F8464BE">
      <w:pPr>
        <w:keepNext w:val="0"/>
        <w:keepLines w:val="0"/>
        <w:pageBreakBefore w:val="0"/>
        <w:widowControl w:val="0"/>
        <w:numPr>
          <w:ilvl w:val="0"/>
          <w:numId w:val="6"/>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hint="default"/>
          <w:lang w:val="en-US" w:eastAsia="zh-CN"/>
        </w:rPr>
      </w:pPr>
      <w:r>
        <w:rPr>
          <w:rFonts w:ascii="宋体" w:hAnsi="宋体" w:eastAsia="宋体" w:cs="宋体"/>
          <w:spacing w:val="-2"/>
          <w:sz w:val="24"/>
          <w:szCs w:val="24"/>
        </w:rPr>
        <w:t>本制度自颁布之日起施行。</w:t>
      </w:r>
    </w:p>
    <w:p w14:paraId="3383B102">
      <w:pPr>
        <w:pStyle w:val="28"/>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30" w:name="bookmark14"/>
      <w:bookmarkEnd w:id="30"/>
      <w:bookmarkStart w:id="31" w:name="_Toc12819"/>
      <w:r>
        <w:rPr>
          <w:rFonts w:hint="eastAsia"/>
          <w:lang w:val="en-US" w:eastAsia="zh-CN"/>
        </w:rPr>
        <w:t>附件</w:t>
      </w:r>
      <w:bookmarkEnd w:id="31"/>
    </w:p>
    <w:p w14:paraId="5534B3D3">
      <w:pPr>
        <w:pStyle w:val="29"/>
        <w:rPr>
          <w:rFonts w:hint="default"/>
          <w:lang w:val="en-US" w:eastAsia="zh-CN"/>
        </w:rPr>
      </w:pPr>
      <w:r>
        <w:rPr>
          <w:rFonts w:hint="eastAsia"/>
          <w:lang w:val="en-US" w:eastAsia="zh-CN"/>
        </w:rPr>
        <w:t>无</w:t>
      </w:r>
    </w:p>
    <w:p w14:paraId="7D816EFF">
      <w:pPr>
        <w:pStyle w:val="28"/>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32" w:name="_Toc2173"/>
      <w:r>
        <w:rPr>
          <w:rFonts w:hint="eastAsia"/>
          <w:lang w:val="en-US" w:eastAsia="zh-CN"/>
        </w:rPr>
        <w:t>记录</w:t>
      </w:r>
      <w:bookmarkEnd w:id="32"/>
    </w:p>
    <w:p w14:paraId="12712EE2">
      <w:pPr>
        <w:pStyle w:val="29"/>
        <w:rPr>
          <w:rFonts w:hint="default"/>
          <w:lang w:val="en-US" w:eastAsia="zh-CN"/>
        </w:rPr>
      </w:pPr>
      <w:r>
        <w:rPr>
          <w:rFonts w:hint="eastAsia"/>
          <w:lang w:val="en-US" w:eastAsia="zh-CN"/>
        </w:rPr>
        <w:t>无</w:t>
      </w:r>
    </w:p>
    <w:sectPr>
      <w:headerReference r:id="rId5" w:type="default"/>
      <w:footerReference r:id="rId6" w:type="default"/>
      <w:headerReference w:type="first" r:id="rId12"/>
      <w:footerReference w:type="first" r:id="rId13"/>
      <w:headerReference w:type="even" r:id="rId14"/>
      <w:footerReference w:type="even" r:id="rId15"/>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88BF20">
    <w:pPr>
      <w:pStyle w:val="14"/>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744E44">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tab/>
      <w:t>重庆市鹧鸪哨信息技术有限责任公司</w:t>
    </w:r>
    <w:r>
      <w:rPr>
        <w:rFonts w:hint="eastAsia" w:eastAsiaTheme="minorEastAsia"/>
        <w:lang w:val="en-US" w:eastAsia="zh-CN"/>
      </w:rPr>
    </w:r>
    <w:r>
      <w:rPr>
        <w:rFonts w:hint="eastAsia" w:eastAsiaTheme="minorEastAsia"/>
        <w:lang w:val="en-US" w:eastAsia="zh-CN"/>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752A4D"/>
    <w:multiLevelType w:val="singleLevel"/>
    <w:tmpl w:val="83752A4D"/>
    <w:lvl w:ilvl="0" w:tentative="0">
      <w:start w:val="1"/>
      <w:numFmt w:val="decimal"/>
      <w:lvlText w:val="%1."/>
      <w:lvlJc w:val="left"/>
      <w:pPr>
        <w:ind w:left="425" w:hanging="425"/>
      </w:pPr>
      <w:rPr>
        <w:rFonts w:hint="default"/>
      </w:rPr>
    </w:lvl>
  </w:abstractNum>
  <w:abstractNum w:abstractNumId="1">
    <w:nsid w:val="89783616"/>
    <w:multiLevelType w:val="singleLevel"/>
    <w:tmpl w:val="89783616"/>
    <w:lvl w:ilvl="0" w:tentative="0">
      <w:start w:val="1"/>
      <w:numFmt w:val="decimal"/>
      <w:lvlText w:val="%1."/>
      <w:lvlJc w:val="left"/>
      <w:pPr>
        <w:ind w:left="425" w:hanging="425"/>
      </w:pPr>
      <w:rPr>
        <w:rFonts w:hint="default"/>
      </w:rPr>
    </w:lvl>
  </w:abstractNum>
  <w:abstractNum w:abstractNumId="2">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3">
    <w:nsid w:val="9A587A63"/>
    <w:multiLevelType w:val="singleLevel"/>
    <w:tmpl w:val="9A587A63"/>
    <w:lvl w:ilvl="0" w:tentative="0">
      <w:start w:val="1"/>
      <w:numFmt w:val="decimal"/>
      <w:lvlText w:val="%1."/>
      <w:lvlJc w:val="left"/>
      <w:pPr>
        <w:ind w:left="425" w:hanging="425"/>
      </w:pPr>
      <w:rPr>
        <w:rFonts w:hint="default"/>
      </w:rPr>
    </w:lvl>
  </w:abstractNum>
  <w:abstractNum w:abstractNumId="4">
    <w:nsid w:val="BF360E9F"/>
    <w:multiLevelType w:val="singleLevel"/>
    <w:tmpl w:val="BF360E9F"/>
    <w:lvl w:ilvl="0" w:tentative="0">
      <w:start w:val="1"/>
      <w:numFmt w:val="decimal"/>
      <w:lvlText w:val="%1."/>
      <w:lvlJc w:val="left"/>
      <w:pPr>
        <w:ind w:left="425" w:hanging="425"/>
      </w:pPr>
      <w:rPr>
        <w:rFonts w:hint="default"/>
      </w:rPr>
    </w:lvl>
  </w:abstractNum>
  <w:abstractNum w:abstractNumId="5">
    <w:nsid w:val="F9539CF3"/>
    <w:multiLevelType w:val="singleLevel"/>
    <w:tmpl w:val="F9539CF3"/>
    <w:lvl w:ilvl="0" w:tentative="0">
      <w:start w:val="1"/>
      <w:numFmt w:val="decimal"/>
      <w:lvlText w:val="%1."/>
      <w:lvlJc w:val="left"/>
      <w:pPr>
        <w:ind w:left="425" w:hanging="425"/>
      </w:pPr>
      <w:rPr>
        <w:rFonts w:hint="default"/>
      </w:rPr>
    </w:lvl>
  </w:abstractNum>
  <w:num w:numId="1">
    <w:abstractNumId w:val="2"/>
  </w:num>
  <w:num w:numId="2">
    <w:abstractNumId w:val="1"/>
  </w:num>
  <w:num w:numId="3">
    <w:abstractNumId w:val="4"/>
  </w:num>
  <w:num w:numId="4">
    <w:abstractNumId w:val="3"/>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8326262"/>
    <w:rsid w:val="0CF602B9"/>
    <w:rsid w:val="0DE12FE7"/>
    <w:rsid w:val="3BBD15B7"/>
    <w:rsid w:val="4EBE1CDD"/>
    <w:rsid w:val="4FBA6948"/>
    <w:rsid w:val="6A415D92"/>
    <w:rsid w:val="7CD662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1947</Words>
  <Characters>2134</Characters>
  <Lines>0</Lines>
  <Paragraphs>0</Paragraphs>
  <TotalTime>0</TotalTime>
  <ScaleCrop>false</ScaleCrop>
  <LinksUpToDate>false</LinksUpToDate>
  <CharactersWithSpaces>2255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2026-05-26T15:46:30Z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2052-12.1.0.26375</vt:lpwstr>
  </property>
  <property fmtid="{D5CDD505-2E9C-101B-9397-08002B2CF9AE}" pid="4" name="KSOTemplateDocerSaveRecord">
    <vt:lpwstr>eyJoZGlkIjoiYWNlNzNhNmIzOTIzZGY2M2QzZGFjMTM3NDZmMGZlYmUiLCJ1c2VySWQiOiIxMDc1MzgyOSJ9</vt:lpwstr>
  </property>
</Properties>
</file>