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3FA1E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47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05508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163"/>
      <w:r>
        <w:rPr>
          <w:rFonts w:hint="eastAsia"/>
          <w:lang w:val="en-US" w:eastAsia="zh-CN"/>
        </w:rPr>
        <w:t>服务数据管理制度</w:t>
      </w:r>
      <w:bookmarkEnd w:id="1"/>
    </w:p>
    <w:p w14:paraId="60B1E9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文件编号：ZGS-08-06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9E04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0929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33B2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5896A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C4327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AF975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416A5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87B61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0D64BF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DD5D40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144037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5C563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D9764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F21C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FA584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996D8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4C93D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E89FE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A9B88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11980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64EF5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792D33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5FC6C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353C4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CB2E4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BF25D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28F7B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BB11F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60F89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6CC0B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01F595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1EE0B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51FEA5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B7C41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FA7868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6B126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2D031A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8B643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0814585">
          <w:pPr>
            <w:pStyle w:val="16"/>
            <w:tabs>
              <w:tab w:val="right" w:leader="dot" w:pos="8306"/>
            </w:tabs>
          </w:pPr>
          <w:bookmarkStart w:id="38" w:name="_GoBack"/>
          <w:bookmarkEnd w:id="38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_Toc29475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75BA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_Toc5163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C98A8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_Toc1578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945E6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_Toc27032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78C8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_Toc10488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5F94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_Toc11275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A726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_Toc9388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38564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运维部</w:t>
          </w:r>
          <w:r>
            <w:tab/>
          </w:r>
          <w:r>
            <w:fldChar w:fldCharType="begin"/>
          </w:r>
          <w:r>
            <w:instrText xml:space="preserve"> PAGEREF _Toc9456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293E8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数据部</w:t>
          </w:r>
          <w:r>
            <w:tab/>
          </w:r>
          <w:r>
            <w:fldChar w:fldCharType="begin"/>
          </w:r>
          <w:r>
            <w:instrText xml:space="preserve"> PAGEREF _Toc22173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21E1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研发部</w:t>
          </w:r>
          <w:r>
            <w:tab/>
          </w:r>
          <w:r>
            <w:fldChar w:fldCharType="begin"/>
          </w:r>
          <w:r>
            <w:instrText xml:space="preserve"> PAGEREF _Toc5978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C4AD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行政部</w:t>
          </w:r>
          <w:r>
            <w:tab/>
          </w:r>
          <w:r>
            <w:fldChar w:fldCharType="begin"/>
          </w:r>
          <w:r>
            <w:instrText xml:space="preserve"> PAGEREF _Toc19527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1D970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市场部</w:t>
          </w:r>
          <w:r>
            <w:tab/>
          </w:r>
          <w:r>
            <w:fldChar w:fldCharType="begin"/>
          </w:r>
          <w:r>
            <w:instrText xml:space="preserve"> PAGEREF _Toc7872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14886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_Toc3978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F7E2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_Toc4284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55D6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运维服务数据</w:t>
          </w:r>
          <w:r>
            <w:tab/>
          </w:r>
          <w:r>
            <w:fldChar w:fldCharType="begin"/>
          </w:r>
          <w:r>
            <w:instrText xml:space="preserve"> PAGEREF _Toc11750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466A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数据资产目录</w:t>
          </w:r>
          <w:r>
            <w:tab/>
          </w:r>
          <w:r>
            <w:fldChar w:fldCharType="begin"/>
          </w:r>
          <w:r>
            <w:instrText xml:space="preserve"> PAGEREF _Toc25049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14D7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数据定级</w:t>
          </w:r>
          <w:r>
            <w:tab/>
          </w:r>
          <w:r>
            <w:fldChar w:fldCharType="begin"/>
          </w:r>
          <w:r>
            <w:instrText xml:space="preserve"> PAGEREF _Toc6812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4284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_Toc19885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AD8C4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数据分类与定级</w:t>
          </w:r>
          <w:r>
            <w:tab/>
          </w:r>
          <w:r>
            <w:fldChar w:fldCharType="begin"/>
          </w:r>
          <w:r>
            <w:instrText xml:space="preserve"> PAGEREF _Toc19166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3E30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数据质量管理</w:t>
          </w:r>
          <w:r>
            <w:tab/>
          </w:r>
          <w:r>
            <w:fldChar w:fldCharType="begin"/>
          </w:r>
          <w:r>
            <w:instrText xml:space="preserve"> PAGEREF _Toc17612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1803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数据安全管理</w:t>
          </w:r>
          <w:r>
            <w:tab/>
          </w:r>
          <w:r>
            <w:fldChar w:fldCharType="begin"/>
          </w:r>
          <w:r>
            <w:instrText xml:space="preserve"> PAGEREF _Toc9330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C65D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数据生命周期管理</w:t>
          </w:r>
          <w:r>
            <w:tab/>
          </w:r>
          <w:r>
            <w:fldChar w:fldCharType="begin"/>
          </w:r>
          <w:r>
            <w:instrText xml:space="preserve"> PAGEREF _Toc30557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8BAC1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服务数据生命周期管理</w:t>
          </w:r>
          <w:r>
            <w:tab/>
          </w:r>
          <w:r>
            <w:fldChar w:fldCharType="begin"/>
          </w:r>
          <w:r>
            <w:instrText xml:space="preserve"> PAGEREF _Toc23156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18BC9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4.5.1. 数据采集</w:t>
          </w:r>
          <w:r>
            <w:tab/>
          </w:r>
          <w:r>
            <w:fldChar w:fldCharType="begin"/>
          </w:r>
          <w:r>
            <w:instrText xml:space="preserve"> PAGEREF _Toc18778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EC68B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4.5.2. 数据存储</w:t>
          </w:r>
          <w:r>
            <w:tab/>
          </w:r>
          <w:r>
            <w:fldChar w:fldCharType="begin"/>
          </w:r>
          <w:r>
            <w:instrText xml:space="preserve"> PAGEREF _Toc28952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287BF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4.5.3. 数据分析</w:t>
          </w:r>
          <w:r>
            <w:tab/>
          </w:r>
          <w:r>
            <w:fldChar w:fldCharType="begin"/>
          </w:r>
          <w:r>
            <w:instrText xml:space="preserve"> PAGEREF _Toc9662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E9529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4.5.4. 数据处理</w:t>
          </w:r>
          <w:r>
            <w:tab/>
          </w:r>
          <w:r>
            <w:fldChar w:fldCharType="begin"/>
          </w:r>
          <w:r>
            <w:instrText xml:space="preserve"> PAGEREF _Toc10400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0AEC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4.5.5. 数据展示</w:t>
          </w:r>
          <w:r>
            <w:tab/>
          </w:r>
          <w:r>
            <w:fldChar w:fldCharType="begin"/>
          </w:r>
          <w:r>
            <w:instrText xml:space="preserve"> PAGEREF _Toc4140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7EC8A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4.5.6. 数据利用</w:t>
          </w:r>
          <w:r>
            <w:tab/>
          </w:r>
          <w:r>
            <w:fldChar w:fldCharType="begin"/>
          </w:r>
          <w:r>
            <w:instrText xml:space="preserve"> PAGEREF _Toc20706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4B953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4.5.7. 归档与销毁</w:t>
          </w:r>
          <w:r>
            <w:tab/>
          </w:r>
          <w:r>
            <w:fldChar w:fldCharType="begin"/>
          </w:r>
          <w:r>
            <w:instrText xml:space="preserve"> PAGEREF _Toc4315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8486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数据驱动决策机制</w:t>
          </w:r>
          <w:r>
            <w:tab/>
          </w:r>
          <w:r>
            <w:fldChar w:fldCharType="begin"/>
          </w:r>
          <w:r>
            <w:instrText xml:space="preserve"> PAGEREF _Toc21008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FB75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_Toc13509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807D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_Toc23707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BC26F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_Toc27755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B1A7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C044C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1C1C79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99693A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578"/>
      <w:r>
        <w:rPr>
          <w:rFonts w:hint="eastAsia"/>
          <w:lang w:val="en-US" w:eastAsia="zh-CN"/>
        </w:rPr>
        <w:t>总则</w:t>
      </w:r>
      <w:bookmarkEnd w:id="2"/>
    </w:p>
    <w:p w14:paraId="761D36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7032"/>
      <w:r>
        <w:rPr>
          <w:rFonts w:hint="eastAsia"/>
          <w:lang w:val="en-US" w:eastAsia="zh-CN"/>
        </w:rPr>
        <w:t>目的</w:t>
      </w:r>
      <w:bookmarkEnd w:id="3"/>
    </w:p>
    <w:p w14:paraId="445D02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立本公司运维服务数据的管理框架，规范数据的产生、处理、使用与保护全流程，深度挖掘数据资产价值，赋能服务决策与创新，保障数据安全与合规，支撑运维服务能力的持续提升与ITSS成熟度要求，特制定本制度。</w:t>
      </w:r>
    </w:p>
    <w:p w14:paraId="4E7985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0488"/>
      <w:r>
        <w:rPr>
          <w:rFonts w:hint="eastAsia"/>
          <w:lang w:val="en-US" w:eastAsia="zh-CN"/>
        </w:rPr>
        <w:t>适用范围</w:t>
      </w:r>
      <w:bookmarkEnd w:id="4"/>
    </w:p>
    <w:p w14:paraId="475E7F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本制度适用于公司内所有与运维服务活动相关的部门及人员，涉及运维部、研发部、质量部、人力部及采购部在业务过程中生成、存储、流转和分析的各类数据。</w:t>
      </w:r>
    </w:p>
    <w:p w14:paraId="5DF0C7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1275"/>
      <w:r>
        <w:rPr>
          <w:rFonts w:hint="eastAsia"/>
          <w:lang w:val="en-US" w:eastAsia="zh-CN"/>
        </w:rPr>
        <w:t>原则</w:t>
      </w:r>
      <w:bookmarkEnd w:id="5"/>
    </w:p>
    <w:p w14:paraId="33EDDD0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价值导向原则：数据管理活动应聚焦于支持业务决策、优化服务流程与提升客户体验。</w:t>
      </w:r>
    </w:p>
    <w:p w14:paraId="2353209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权责对等原则：数据在共享与使用的同时，必须明确主体责任，确保数据安全与合规。</w:t>
      </w:r>
    </w:p>
    <w:p w14:paraId="6255C42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全生命周期管理原则：对数据从创建到销毁的每个阶段实施相适应的管理策略。</w:t>
      </w:r>
    </w:p>
    <w:p w14:paraId="7194764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质量贯穿始终原则：数据质量是数据价值的前提，需在各个环节得到保障。</w:t>
      </w:r>
    </w:p>
    <w:p w14:paraId="2E5B01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9388"/>
      <w:r>
        <w:rPr>
          <w:rFonts w:hint="eastAsia"/>
          <w:lang w:val="en-US" w:eastAsia="zh-CN"/>
        </w:rPr>
        <w:t>岗位职责</w:t>
      </w:r>
      <w:bookmarkEnd w:id="6"/>
    </w:p>
    <w:p w14:paraId="0D16D17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9456"/>
      <w:r>
        <w:rPr>
          <w:rFonts w:hint="default"/>
          <w:lang w:val="en-US" w:eastAsia="zh-CN"/>
        </w:rPr>
        <w:t>运维部</w:t>
      </w:r>
      <w:bookmarkEnd w:id="7"/>
    </w:p>
    <w:p w14:paraId="108287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是本制度的核心执行部门，负责运维数据的日常采集、录入、校验与应用，是数据质量的第一责任人。</w:t>
      </w:r>
    </w:p>
    <w:p w14:paraId="73388B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负责数据的分类、归档、维护日常数据台账，并协调解决数据争议。</w:t>
      </w:r>
    </w:p>
    <w:p w14:paraId="04B76EF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2173"/>
      <w:r>
        <w:rPr>
          <w:rFonts w:hint="default"/>
          <w:lang w:val="en-US" w:eastAsia="zh-CN"/>
        </w:rPr>
        <w:t>质量部</w:t>
      </w:r>
      <w:bookmarkEnd w:id="8"/>
    </w:p>
    <w:p w14:paraId="795EE4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承担数据质量监督与审计职能，负责定义数据质量度量标准并定期组织评估。</w:t>
      </w:r>
    </w:p>
    <w:p w14:paraId="7C0698B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5978"/>
      <w:r>
        <w:rPr>
          <w:rFonts w:hint="default"/>
          <w:lang w:val="en-US" w:eastAsia="zh-CN"/>
        </w:rPr>
        <w:t>研发部</w:t>
      </w:r>
      <w:bookmarkEnd w:id="9"/>
    </w:p>
    <w:p w14:paraId="78256F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负责提供数据管理所需的技术平台与工具支撑，确保系统的数据处理能力与管理制度相匹配。</w:t>
      </w:r>
    </w:p>
    <w:p w14:paraId="2806E67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9527"/>
      <w:r>
        <w:rPr>
          <w:rFonts w:hint="default"/>
          <w:lang w:val="en-US" w:eastAsia="zh-CN"/>
        </w:rPr>
        <w:t>人力部</w:t>
      </w:r>
      <w:bookmarkEnd w:id="10"/>
    </w:p>
    <w:p w14:paraId="1683EB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负责将数据管理成效纳入相关岗位的绩效考核与激励机制。</w:t>
      </w:r>
    </w:p>
    <w:p w14:paraId="4F4136F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7872"/>
      <w:r>
        <w:rPr>
          <w:rFonts w:hint="default"/>
          <w:lang w:val="en-US" w:eastAsia="zh-CN"/>
        </w:rPr>
        <w:t>采购部</w:t>
      </w:r>
      <w:bookmarkEnd w:id="11"/>
    </w:p>
    <w:p w14:paraId="7B6F09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负责在引入外部产品或服务时，评估并约束其数据接口、安全与合规性是否符合本制度要求。</w:t>
      </w:r>
    </w:p>
    <w:p w14:paraId="3CF59CE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3978"/>
      <w:r>
        <w:rPr>
          <w:rFonts w:hint="eastAsia"/>
          <w:lang w:val="en-US" w:eastAsia="zh-CN"/>
        </w:rPr>
        <w:t>引用依据</w:t>
      </w:r>
      <w:bookmarkEnd w:id="12"/>
    </w:p>
    <w:p w14:paraId="78D6A2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本制度的制定遵循并引用以下国家标准与行业规范：</w:t>
      </w:r>
    </w:p>
    <w:p w14:paraId="458BDEC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4F3150E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6BE89E5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12B2AF6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4C57002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3" w:name="_Toc4284"/>
      <w:r>
        <w:rPr>
          <w:rFonts w:hint="eastAsia"/>
          <w:lang w:val="en-US" w:eastAsia="zh-CN"/>
        </w:rPr>
        <w:t>定义与术语</w:t>
      </w:r>
      <w:bookmarkEnd w:id="13"/>
    </w:p>
    <w:p w14:paraId="12C476D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11750"/>
      <w:r>
        <w:rPr>
          <w:rFonts w:hint="eastAsia"/>
        </w:rPr>
        <w:t>运维服务数据</w:t>
      </w:r>
      <w:bookmarkEnd w:id="14"/>
    </w:p>
    <w:p w14:paraId="357DAB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在运维服务交付、运营与管理过程中产生的，能够记录服务行为、反映服务状态、衡量服务成果的所有原始数据与派生信息的集合。</w:t>
      </w:r>
    </w:p>
    <w:p w14:paraId="6534C1E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25049"/>
      <w:r>
        <w:rPr>
          <w:rFonts w:hint="eastAsia"/>
        </w:rPr>
        <w:t>数据资产目录</w:t>
      </w:r>
      <w:bookmarkEnd w:id="15"/>
    </w:p>
    <w:p w14:paraId="3F5CEB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对公司持有的运维服务数据资产的系统性编目，用以描述数据的业务含义、来源、格式、负责人等核心元数据。</w:t>
      </w:r>
    </w:p>
    <w:p w14:paraId="6E6B4F0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6" w:name="_Toc6812"/>
      <w:r>
        <w:rPr>
          <w:rFonts w:hint="eastAsia"/>
        </w:rPr>
        <w:t>数据定级</w:t>
      </w:r>
      <w:bookmarkEnd w:id="16"/>
    </w:p>
    <w:p w14:paraId="1375B1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根据数据遭到篡改、破坏、泄露或非法利用后，可能对公司、客户造成的潜在影响程度，所划分的数据安全级别。</w:t>
      </w:r>
    </w:p>
    <w:p w14:paraId="303DDE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9885"/>
      <w:r>
        <w:rPr>
          <w:rFonts w:hint="eastAsia"/>
          <w:lang w:val="en-US" w:eastAsia="zh-CN"/>
        </w:rPr>
        <w:t>管理内容与要求</w:t>
      </w:r>
      <w:bookmarkEnd w:id="17"/>
    </w:p>
    <w:p w14:paraId="0DA3E0A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9166"/>
      <w:r>
        <w:rPr>
          <w:rFonts w:hint="default"/>
          <w:lang w:val="en-US" w:eastAsia="zh-CN"/>
        </w:rPr>
        <w:t>数据分类与定级</w:t>
      </w:r>
      <w:bookmarkEnd w:id="18"/>
    </w:p>
    <w:p w14:paraId="29DD20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业务分类体系：建立以服务生命周期为主线的数据分类体系，包括：</w:t>
      </w:r>
    </w:p>
    <w:p w14:paraId="0CDE9F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服务需求数据：如服务请求、客户需求描述。</w:t>
      </w:r>
    </w:p>
    <w:p w14:paraId="726C6A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服务交付数据：如事件记录、变更记录、SLA/SLI达成数据。</w:t>
      </w:r>
    </w:p>
    <w:p w14:paraId="7EBF70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资源配置数据：如配置管理数据库（CMDB）中的所有条目及关系。</w:t>
      </w:r>
    </w:p>
    <w:p w14:paraId="2EDC06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服务效能数据：如团队工作效率、资源利用率、成本数据。</w:t>
      </w:r>
    </w:p>
    <w:p w14:paraId="736D11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安全定级标准：依据数据敏感性，实施四级安全定级：</w:t>
      </w:r>
    </w:p>
    <w:p w14:paraId="63A2C5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公开（L1）： 可对外发布的服务统计摘要、白皮书等。</w:t>
      </w:r>
    </w:p>
    <w:p w14:paraId="44A8E5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内部（L2）： 日常运营数据，仅限内部员工依职使用。</w:t>
      </w:r>
    </w:p>
    <w:p w14:paraId="5F1E99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敏感（L3）： 包含客户业务信息、个人数据的操作记录。</w:t>
      </w:r>
    </w:p>
    <w:p w14:paraId="50F71A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机密（L4）： 核心系统架构、安全漏洞细节、未公开的应急预案等。</w:t>
      </w:r>
    </w:p>
    <w:p w14:paraId="436AB091">
      <w:pPr>
        <w:pStyle w:val="30"/>
        <w:bidi w:val="0"/>
        <w:rPr>
          <w:rFonts w:hint="default"/>
          <w:lang w:val="en-US" w:eastAsia="zh-CN"/>
        </w:rPr>
      </w:pPr>
      <w:bookmarkStart w:id="19" w:name="_Toc17612"/>
      <w:r>
        <w:rPr>
          <w:rFonts w:hint="default"/>
          <w:lang w:val="en-US" w:eastAsia="zh-CN"/>
        </w:rPr>
        <w:t>数据质量管理</w:t>
      </w:r>
      <w:bookmarkEnd w:id="19"/>
    </w:p>
    <w:p w14:paraId="0E8A84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质量维度：明确数据在准确性、完整性、一致性、及时性、唯一性五个维度的具体要求。</w:t>
      </w:r>
    </w:p>
    <w:p w14:paraId="6012AF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源头管理：推行“谁产生，谁负责”的源头数据责任制，确保初始录入质量。</w:t>
      </w:r>
    </w:p>
    <w:p w14:paraId="6D9022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闭环管理：建立从数据质量问题的发现、记录、分派、整改到验证的闭环处理流程。</w:t>
      </w:r>
    </w:p>
    <w:p w14:paraId="057FD4FE">
      <w:pPr>
        <w:pStyle w:val="30"/>
        <w:bidi w:val="0"/>
        <w:rPr>
          <w:rFonts w:hint="default"/>
          <w:lang w:val="en-US" w:eastAsia="zh-CN"/>
        </w:rPr>
      </w:pPr>
      <w:bookmarkStart w:id="20" w:name="_Toc9330"/>
      <w:r>
        <w:rPr>
          <w:rFonts w:hint="default"/>
          <w:lang w:val="en-US" w:eastAsia="zh-CN"/>
        </w:rPr>
        <w:t>数据安全管理</w:t>
      </w:r>
      <w:bookmarkEnd w:id="20"/>
    </w:p>
    <w:p w14:paraId="755C93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访问授权：遵循最小权限原则，访问权限的申请与审批必须基于明确的业务需求。</w:t>
      </w:r>
    </w:p>
    <w:p w14:paraId="590C4E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操作审计：对机密级和敏感级数据的访问、修改、导出等高风险操作进行日志记录并定期审计。</w:t>
      </w:r>
    </w:p>
    <w:p w14:paraId="5ED7B0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脱敏与加密：敏感数据在测试、开发及分析环境中必须进行脱敏处理；机密数据在存储和传输过程中必须加密。</w:t>
      </w:r>
    </w:p>
    <w:p w14:paraId="014384E9">
      <w:pPr>
        <w:pStyle w:val="30"/>
        <w:bidi w:val="0"/>
        <w:rPr>
          <w:rFonts w:hint="default"/>
          <w:lang w:val="en-US" w:eastAsia="zh-CN"/>
        </w:rPr>
      </w:pPr>
      <w:bookmarkStart w:id="21" w:name="_Toc30557"/>
      <w:r>
        <w:rPr>
          <w:rFonts w:hint="default"/>
          <w:lang w:val="en-US" w:eastAsia="zh-CN"/>
        </w:rPr>
        <w:t>数据生命周期管理</w:t>
      </w:r>
      <w:bookmarkEnd w:id="21"/>
    </w:p>
    <w:p w14:paraId="76AA8F3A">
      <w:pPr>
        <w:pStyle w:val="30"/>
        <w:bidi w:val="0"/>
        <w:rPr>
          <w:rFonts w:hint="default"/>
          <w:lang w:val="en-US" w:eastAsia="zh-CN"/>
        </w:rPr>
      </w:pPr>
      <w:bookmarkStart w:id="22" w:name="_Toc23156"/>
      <w:r>
        <w:rPr>
          <w:rFonts w:hint="eastAsia"/>
          <w:lang w:val="en-US" w:eastAsia="zh-CN"/>
        </w:rPr>
        <w:t>服务数据生命周期管理</w:t>
      </w:r>
      <w:bookmarkEnd w:id="22"/>
    </w:p>
    <w:p w14:paraId="27BAB80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为完善运维服务数据全生命周期管理，明确从原始数据到价值输出的各环节操作要求，特制定本</w:t>
      </w:r>
      <w:r>
        <w:rPr>
          <w:rFonts w:hint="eastAsia"/>
          <w:lang w:val="en-US" w:eastAsia="zh-CN"/>
        </w:rPr>
        <w:t>章节</w:t>
      </w:r>
      <w:r>
        <w:rPr>
          <w:rFonts w:hint="default"/>
          <w:lang w:val="en-US" w:eastAsia="zh-CN"/>
        </w:rPr>
        <w:t>。</w:t>
      </w:r>
    </w:p>
    <w:p w14:paraId="406FD6AC">
      <w:pPr>
        <w:pStyle w:val="31"/>
        <w:bidi w:val="0"/>
        <w:rPr>
          <w:rFonts w:hint="default"/>
          <w:lang w:val="en-US" w:eastAsia="zh-CN"/>
        </w:rPr>
      </w:pPr>
      <w:bookmarkStart w:id="23" w:name="_Toc18778"/>
      <w:r>
        <w:rPr>
          <w:rFonts w:hint="default"/>
          <w:lang w:val="en-US" w:eastAsia="zh-CN"/>
        </w:rPr>
        <w:t>数据采集</w:t>
      </w:r>
      <w:bookmarkEnd w:id="23"/>
    </w:p>
    <w:p w14:paraId="48E2C2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采集原则：数据采集应遵循“最小必要、源头唯一、及时准确”的原则，不得超范围采集与服务无关的数据。</w:t>
      </w:r>
    </w:p>
    <w:p w14:paraId="4A6E02A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采集方式：</w:t>
      </w:r>
    </w:p>
    <w:p w14:paraId="5F41886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自动化采集：优先通过监控系统、日志系统、APM、CMDB等工具自动采集运维数据，减少人工干预。</w:t>
      </w:r>
    </w:p>
    <w:p w14:paraId="1487673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人工录入：对于无法自动采集的数据，应由指定责任人按照统一模板和时限要求进行录入。</w:t>
      </w:r>
    </w:p>
    <w:p w14:paraId="4343A9D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采集校验：采集环节应嵌入格式校验、去重校验与完整性校验机制，不符合质量要求的数据应拒绝入库并告警。</w:t>
      </w:r>
    </w:p>
    <w:p w14:paraId="01586273">
      <w:pPr>
        <w:pStyle w:val="31"/>
        <w:bidi w:val="0"/>
        <w:rPr>
          <w:rFonts w:hint="default"/>
          <w:lang w:val="en-US" w:eastAsia="zh-CN"/>
        </w:rPr>
      </w:pPr>
      <w:bookmarkStart w:id="24" w:name="_Toc28952"/>
      <w:r>
        <w:rPr>
          <w:rFonts w:hint="default"/>
          <w:lang w:val="en-US" w:eastAsia="zh-CN"/>
        </w:rPr>
        <w:t>数据存储</w:t>
      </w:r>
      <w:bookmarkEnd w:id="24"/>
    </w:p>
    <w:p w14:paraId="36C06F9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存储分级：依据数据定级结果（L1-L4），确定对应的存储区域、加密要求与保留周期。</w:t>
      </w:r>
    </w:p>
    <w:p w14:paraId="4F36A89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L1公开数据：可存放于公共存储区。</w:t>
      </w:r>
    </w:p>
    <w:p w14:paraId="6FBD70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L2内部数据：存放于内部授权存储区。</w:t>
      </w:r>
    </w:p>
    <w:p w14:paraId="452D3B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L3敏感数据与L4机密数据：必须存放于加密存储区，并启用访问控制与操作审计。</w:t>
      </w:r>
    </w:p>
    <w:p w14:paraId="3F5B01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备份与恢复：</w:t>
      </w:r>
    </w:p>
    <w:p w14:paraId="2A60738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关键运维数据（如事件记录、CMDB配置数据）应每日备份，保留周期≥90天。</w:t>
      </w:r>
    </w:p>
    <w:p w14:paraId="7A0516E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每季度至少开展一次数据恢复演练，验证备份有效性。</w:t>
      </w:r>
    </w:p>
    <w:p w14:paraId="36C6B2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存储格式：应优先采用结构化、可机读的标准格式（如JSON、Parquet、CSV等），便于后续处理与分析。</w:t>
      </w:r>
    </w:p>
    <w:p w14:paraId="69C4EC1C">
      <w:pPr>
        <w:pStyle w:val="31"/>
        <w:bidi w:val="0"/>
        <w:rPr>
          <w:rFonts w:hint="default"/>
          <w:lang w:val="en-US" w:eastAsia="zh-CN"/>
        </w:rPr>
      </w:pPr>
      <w:bookmarkStart w:id="25" w:name="_Toc9662"/>
      <w:r>
        <w:rPr>
          <w:rFonts w:hint="default"/>
          <w:lang w:val="en-US" w:eastAsia="zh-CN"/>
        </w:rPr>
        <w:t>数据分析</w:t>
      </w:r>
      <w:bookmarkEnd w:id="25"/>
    </w:p>
    <w:p w14:paraId="1B50FD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分析类型：</w:t>
      </w:r>
    </w:p>
    <w:p w14:paraId="14BC7D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描述性分析：统计服务请求量、事件解决率、SLA达标率等基础指标。</w:t>
      </w:r>
    </w:p>
    <w:p w14:paraId="719381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诊断性分析：定位高频故障、超时响应、重复报修等问题的根本原因。</w:t>
      </w:r>
    </w:p>
    <w:p w14:paraId="74E12A7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预测性分析：基于历史数据预测资源瓶颈、故障趋势与容量需求。</w:t>
      </w:r>
    </w:p>
    <w:p w14:paraId="37136B0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分析工具：统一使用公司批准的BI或数据分析平台，禁止使用未经授权的个人工具处理运维数据。</w:t>
      </w:r>
    </w:p>
    <w:p w14:paraId="2494F4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分析频次：</w:t>
      </w:r>
    </w:p>
    <w:p w14:paraId="369E66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日常指标：按日/周自动生成。</w:t>
      </w:r>
    </w:p>
    <w:p w14:paraId="5B9ACC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深度分析报告：按月度由运维部联合质量部出具。</w:t>
      </w:r>
    </w:p>
    <w:p w14:paraId="25812491">
      <w:pPr>
        <w:pStyle w:val="31"/>
        <w:bidi w:val="0"/>
        <w:rPr>
          <w:rFonts w:hint="default"/>
          <w:lang w:val="en-US" w:eastAsia="zh-CN"/>
        </w:rPr>
      </w:pPr>
      <w:bookmarkStart w:id="26" w:name="_Toc10400"/>
      <w:r>
        <w:rPr>
          <w:rFonts w:hint="default"/>
          <w:lang w:val="en-US" w:eastAsia="zh-CN"/>
        </w:rPr>
        <w:t>数据处理</w:t>
      </w:r>
      <w:bookmarkEnd w:id="26"/>
    </w:p>
    <w:p w14:paraId="0663127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数据处理范围：包括数据清洗、格式转换、字段映射、脱敏、聚合、异常值处理等操作。</w:t>
      </w:r>
    </w:p>
    <w:p w14:paraId="7B0C72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处理规范：</w:t>
      </w:r>
    </w:p>
    <w:p w14:paraId="071A29F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任何数据处理操作均应有变更记录，注明处理人、处理时间、处理目的及数据范围。</w:t>
      </w:r>
    </w:p>
    <w:p w14:paraId="79C1771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针对L3及以上级别数据，处理前须提交申请并经运维部负责人审批。</w:t>
      </w:r>
    </w:p>
    <w:p w14:paraId="5ED6A33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脱敏要求：在非生产环境（测试、开发、培训）使用运维数据时，必须对客户信息、账户信息、内部IP等敏感字段进行不可逆脱敏。</w:t>
      </w:r>
    </w:p>
    <w:p w14:paraId="43EFB569">
      <w:pPr>
        <w:pStyle w:val="31"/>
        <w:bidi w:val="0"/>
        <w:rPr>
          <w:rFonts w:hint="default"/>
          <w:lang w:val="en-US" w:eastAsia="zh-CN"/>
        </w:rPr>
      </w:pPr>
      <w:bookmarkStart w:id="27" w:name="_Toc4140"/>
      <w:r>
        <w:rPr>
          <w:rFonts w:hint="default"/>
          <w:lang w:val="en-US" w:eastAsia="zh-CN"/>
        </w:rPr>
        <w:t>数据展示</w:t>
      </w:r>
      <w:bookmarkEnd w:id="27"/>
    </w:p>
    <w:p w14:paraId="3714494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展示形式：采用仪表盘、趋势图、热力图、报表等可视化方式，面向不同角色（管理层、运维工程师、客户）提供差异化视图。</w:t>
      </w:r>
    </w:p>
    <w:p w14:paraId="7A7974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展示内容要求：</w:t>
      </w:r>
    </w:p>
    <w:p w14:paraId="11850E5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展示数据应标注统计周期、数据来源及口径说明。</w:t>
      </w:r>
    </w:p>
    <w:p w14:paraId="21C5BE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不得在对外（含客户）展示内容中泄露L3及以上级别的原始数据。</w:t>
      </w:r>
    </w:p>
    <w:p w14:paraId="70DFB9A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更新时效：核心服务运行看板应实现准实时更新（延迟≤5分钟），月度分析报表应在次月第3个工作日前更新。</w:t>
      </w:r>
    </w:p>
    <w:p w14:paraId="41D33E7E">
      <w:pPr>
        <w:pStyle w:val="31"/>
        <w:bidi w:val="0"/>
        <w:rPr>
          <w:rFonts w:hint="default"/>
          <w:lang w:val="en-US" w:eastAsia="zh-CN"/>
        </w:rPr>
      </w:pPr>
      <w:bookmarkStart w:id="28" w:name="_Toc20706"/>
      <w:r>
        <w:rPr>
          <w:rFonts w:hint="default"/>
          <w:lang w:val="en-US" w:eastAsia="zh-CN"/>
        </w:rPr>
        <w:t>数据利用</w:t>
      </w:r>
      <w:bookmarkEnd w:id="28"/>
    </w:p>
    <w:p w14:paraId="53E4DDF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利用目的：数据利用应聚焦于提升运维效率、优化服务流程、降低故障率、增强客户满意度。</w:t>
      </w:r>
    </w:p>
    <w:p w14:paraId="36115CF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利用方式：</w:t>
      </w:r>
    </w:p>
    <w:p w14:paraId="76C71F5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内部改进：基于数据分析结果调整巡检策略、优化变更窗口、完善应急预案。</w:t>
      </w:r>
    </w:p>
    <w:p w14:paraId="3F5110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服务报告：向客户提供定期服务报告，展示SLA达成情况、故障处理时效等。</w:t>
      </w:r>
    </w:p>
    <w:p w14:paraId="2E8B206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智能运维（AIOps）：逐步引入异常检测、根因分析、自动处置等智能化利用手段。</w:t>
      </w:r>
    </w:p>
    <w:p w14:paraId="11C5B54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利用边界：</w:t>
      </w:r>
    </w:p>
    <w:p w14:paraId="4C26637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未经客户书面同意，不得将运维服务数据用于非服务交付目的。</w:t>
      </w:r>
    </w:p>
    <w:p w14:paraId="20A49E6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不得将数据分析结果用于与服务改进无关的考核、追责或惩罚。</w:t>
      </w:r>
    </w:p>
    <w:p w14:paraId="0F76D25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效果评估：每季度评估数据利用成效，衡量其对服务指标（如MTTR、SLA达标率、客户满意度）的实际改善贡献。</w:t>
      </w:r>
    </w:p>
    <w:p w14:paraId="6E5C47DC">
      <w:pPr>
        <w:pStyle w:val="31"/>
        <w:bidi w:val="0"/>
        <w:rPr>
          <w:rFonts w:hint="default"/>
          <w:lang w:val="en-US" w:eastAsia="zh-CN"/>
        </w:rPr>
      </w:pPr>
      <w:bookmarkStart w:id="29" w:name="_Toc4315"/>
      <w:r>
        <w:rPr>
          <w:rFonts w:hint="default"/>
          <w:lang w:val="en-US" w:eastAsia="zh-CN"/>
        </w:rPr>
        <w:t>归档与销毁</w:t>
      </w:r>
      <w:bookmarkEnd w:id="29"/>
    </w:p>
    <w:p w14:paraId="642E92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对超出保存期限的活跃数据，应进行归档处理。对需要销毁的数据，必须采用不可恢复的彻底删除方式。</w:t>
      </w:r>
    </w:p>
    <w:p w14:paraId="30E41F85">
      <w:pPr>
        <w:pStyle w:val="30"/>
        <w:bidi w:val="0"/>
        <w:rPr>
          <w:rFonts w:hint="default"/>
          <w:lang w:val="en-US" w:eastAsia="zh-CN"/>
        </w:rPr>
      </w:pPr>
      <w:bookmarkStart w:id="30" w:name="_Toc21008"/>
      <w:r>
        <w:rPr>
          <w:rFonts w:hint="default"/>
          <w:lang w:val="en-US" w:eastAsia="zh-CN"/>
        </w:rPr>
        <w:t>数据驱动决策机制</w:t>
      </w:r>
      <w:bookmarkEnd w:id="30"/>
    </w:p>
    <w:p w14:paraId="43E3CD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定期分析报告：运维部应联合质量部，定期（如每月）生成运维服务数据分析报告，并向管理层汇报。</w:t>
      </w:r>
    </w:p>
    <w:p w14:paraId="64576B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数据洞察应用：鼓励基于数据分析结果优化巡检策略、调整资源配额、改进应急预案，实现主动运维。</w:t>
      </w:r>
    </w:p>
    <w:p w14:paraId="2C3790A7">
      <w:pPr>
        <w:pStyle w:val="30"/>
        <w:bidi w:val="0"/>
        <w:rPr>
          <w:rFonts w:hint="default"/>
          <w:lang w:val="en-US" w:eastAsia="zh-CN"/>
        </w:rPr>
      </w:pPr>
      <w:bookmarkStart w:id="31" w:name="_Toc13509"/>
      <w:r>
        <w:rPr>
          <w:rFonts w:hint="eastAsia"/>
          <w:lang w:val="en-US" w:eastAsia="zh-CN"/>
        </w:rPr>
        <w:t>考核指标</w:t>
      </w:r>
      <w:bookmarkEnd w:id="3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2049"/>
        <w:gridCol w:w="3427"/>
        <w:gridCol w:w="1107"/>
        <w:gridCol w:w="1094"/>
      </w:tblGrid>
      <w:tr w14:paraId="453FD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7E5AE2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2049" w:type="dxa"/>
          </w:tcPr>
          <w:p w14:paraId="089573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427" w:type="dxa"/>
          </w:tcPr>
          <w:p w14:paraId="7323E2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26E6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466558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3354A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49504E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2049" w:type="dxa"/>
          </w:tcPr>
          <w:p w14:paraId="74EF94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服务数据准确率</w:t>
            </w:r>
          </w:p>
        </w:tc>
        <w:tc>
          <w:tcPr>
            <w:tcW w:w="3427" w:type="dxa"/>
          </w:tcPr>
          <w:p w14:paraId="02865A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（1 - 考核期内发现的数据错误记录数 / 抽样检查的总数据记录数）* 100%</w:t>
            </w:r>
          </w:p>
        </w:tc>
        <w:tc>
          <w:tcPr>
            <w:tcW w:w="1107" w:type="dxa"/>
          </w:tcPr>
          <w:p w14:paraId="72B8E7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35C844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≥98</w:t>
            </w: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%</w:t>
            </w:r>
          </w:p>
        </w:tc>
      </w:tr>
    </w:tbl>
    <w:p w14:paraId="511762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75956F8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32" w:name="bookmark3"/>
      <w:bookmarkEnd w:id="32"/>
      <w:bookmarkStart w:id="33" w:name="_Toc17424"/>
      <w:bookmarkStart w:id="34" w:name="_Toc23707"/>
      <w:r>
        <w:rPr>
          <w:rStyle w:val="38"/>
          <w:rFonts w:hint="eastAsia" w:eastAsia="宋体"/>
          <w:lang w:val="en-US" w:eastAsia="zh-CN"/>
        </w:rPr>
        <w:t>附则</w:t>
      </w:r>
      <w:bookmarkEnd w:id="33"/>
      <w:bookmarkEnd w:id="34"/>
    </w:p>
    <w:p w14:paraId="28B99DC4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121F36A6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25BCFE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bookmark14"/>
      <w:bookmarkEnd w:id="35"/>
      <w:bookmarkStart w:id="36" w:name="_Toc27755"/>
      <w:r>
        <w:rPr>
          <w:rFonts w:hint="eastAsia"/>
          <w:lang w:val="en-US" w:eastAsia="zh-CN"/>
        </w:rPr>
        <w:t>附件</w:t>
      </w:r>
      <w:bookmarkEnd w:id="36"/>
    </w:p>
    <w:p w14:paraId="31D7D516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《数据资产目录（模板）》</w:t>
      </w:r>
    </w:p>
    <w:p w14:paraId="0BE3694B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《数据质量评估表》</w:t>
      </w:r>
    </w:p>
    <w:p w14:paraId="783F7CF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368"/>
      <w:r>
        <w:rPr>
          <w:rFonts w:hint="eastAsia"/>
          <w:lang w:val="en-US" w:eastAsia="zh-CN"/>
        </w:rPr>
        <w:t>记录</w:t>
      </w:r>
      <w:bookmarkEnd w:id="37"/>
    </w:p>
    <w:p w14:paraId="3F1A7453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《数据访问权限申请审批表》</w:t>
      </w:r>
    </w:p>
    <w:p w14:paraId="294DD00C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《数据共享协议》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61168C">
    <w:pPr>
      <w:pStyle w:val="14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A63C2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7A3C57"/>
    <w:multiLevelType w:val="singleLevel"/>
    <w:tmpl w:val="887A3C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D7B486EB"/>
    <w:multiLevelType w:val="singleLevel"/>
    <w:tmpl w:val="D7B486E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CC84E5B"/>
    <w:multiLevelType w:val="singleLevel"/>
    <w:tmpl w:val="DCC84E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44368B2"/>
    <w:multiLevelType w:val="singleLevel"/>
    <w:tmpl w:val="244368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F15AA5"/>
    <w:rsid w:val="1FBA579B"/>
    <w:rsid w:val="217C6B87"/>
    <w:rsid w:val="280A1033"/>
    <w:rsid w:val="2CCD0296"/>
    <w:rsid w:val="3D857E58"/>
    <w:rsid w:val="425B7C9B"/>
    <w:rsid w:val="43F213F1"/>
    <w:rsid w:val="4AE41175"/>
    <w:rsid w:val="5F447FDD"/>
    <w:rsid w:val="69F6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2045</Words>
  <Characters>2242</Characters>
  <Lines>0</Lines>
  <Paragraphs>0</Paragraphs>
  <TotalTime>0</TotalTime>
  <ScaleCrop>false</ScaleCrop>
  <LinksUpToDate>false</LinksUpToDate>
  <CharactersWithSpaces>2368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2026-05-26T15:30:17Z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