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93151">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3096"/>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4792E207">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32274"/>
      <w:r>
        <w:rPr>
          <w:rFonts w:hint="eastAsia"/>
          <w:lang w:val="en-US" w:eastAsia="zh-CN"/>
        </w:rPr>
        <w:t>运维服务工具自评估报告</w:t>
      </w:r>
      <w:bookmarkEnd w:id="1"/>
    </w:p>
    <w:p w14:paraId="1EDCF73D">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文件编号：ZGS-08-08</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F1F2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E6085D5">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371DD30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0204F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A6E3137">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7678A3E5">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2" w:name="_GoBack"/>
            <w:bookmarkEnd w:id="2"/>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28B4C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596751A">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04D8334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bl>
    <w:p w14:paraId="0BEFD299">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583A8ECD">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133618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52513EF9">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21001D41">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F6C4037">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3EDF27B7">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F7F32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1CC99A59">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19" w:type="dxa"/>
          </w:tcPr>
          <w:p w14:paraId="00CA623D">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2208080">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25AC5B4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宋海滨</w:t>
            </w:r>
          </w:p>
        </w:tc>
      </w:tr>
      <w:tr w14:paraId="42109B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73EC5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0850B87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79883F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04ACCD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20883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7479E67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CA0F9D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C77370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3EE0E31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CF577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45AFCFA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0A17F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083D15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1BED94A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232EF94">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F5141AE">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59EBAF1">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_Toc13096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_Toc13096 \h </w:instrText>
          </w:r>
          <w:r>
            <w:fldChar w:fldCharType="separate"/>
          </w:r>
          <w:r>
            <w:t>1</w:t>
          </w:r>
          <w:r>
            <w:fldChar w:fldCharType="end"/>
          </w:r>
          <w:r>
            <w:rPr>
              <w:rFonts w:hint="eastAsia" w:ascii="宋体" w:hAnsi="宋体" w:eastAsia="宋体" w:cs="宋体"/>
              <w:szCs w:val="24"/>
            </w:rPr>
            <w:fldChar w:fldCharType="end"/>
          </w:r>
        </w:p>
        <w:p w14:paraId="48B1A52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_Toc32274 </w:instrText>
          </w:r>
          <w:r>
            <w:rPr>
              <w:rFonts w:hint="eastAsia" w:ascii="宋体" w:hAnsi="宋体" w:eastAsia="宋体" w:cs="宋体"/>
              <w:szCs w:val="24"/>
            </w:rPr>
            <w:fldChar w:fldCharType="separate"/>
          </w:r>
          <w:r>
            <w:rPr>
              <w:rFonts w:hint="eastAsia"/>
              <w:lang w:val="en-US" w:eastAsia="zh-CN"/>
            </w:rPr>
            <w:t>运维服务工具自评估报告</w:t>
          </w:r>
          <w:r>
            <w:tab/>
          </w:r>
          <w:r>
            <w:fldChar w:fldCharType="begin"/>
          </w:r>
          <w:r>
            <w:instrText xml:space="preserve"> PAGEREF _Toc32274 \h </w:instrText>
          </w:r>
          <w:r>
            <w:fldChar w:fldCharType="separate"/>
          </w:r>
          <w:r>
            <w:t>1</w:t>
          </w:r>
          <w:r>
            <w:fldChar w:fldCharType="end"/>
          </w:r>
          <w:r>
            <w:rPr>
              <w:rFonts w:hint="eastAsia" w:ascii="宋体" w:hAnsi="宋体" w:eastAsia="宋体" w:cs="宋体"/>
              <w:szCs w:val="24"/>
            </w:rPr>
            <w:fldChar w:fldCharType="end"/>
          </w:r>
        </w:p>
        <w:p w14:paraId="27F1CDB5">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5ADFD5D">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sectPr>
          <w:headerReference r:id="rId5" w:type="default"/>
          <w:footerReference w:type="default" r:id="rId11"/>
          <w:headerReference w:type="first" r:id="rId12"/>
          <w:footerReference w:type="first" r:id="rId13"/>
          <w:headerReference w:type="even" r:id="rId14"/>
          <w:footerReference w:type="even" r:id="rId15"/>
          <w:pgSz w:w="11906" w:h="16838"/>
          <w:pgMar w:top="1417" w:right="1800" w:bottom="1440" w:left="1800" w:header="1140" w:footer="992" w:gutter="0"/>
          <w:cols w:space="425" w:num="1"/>
          <w:docGrid w:type="lines" w:linePitch="312" w:charSpace="0"/>
        </w:sectPr>
      </w:pPr>
      <w:r>
        <w:rPr>
          <w:rFonts w:ascii="Arial" w:hAnsi="Arial" w:eastAsia="Arial" w:cs="Arial"/>
          <w:snapToGrid w:val="0"/>
          <w:color w:val="000000"/>
          <w:kern w:val="0"/>
          <w:sz w:val="21"/>
          <w:szCs w:val="21"/>
          <w:lang w:val="en-US" w:eastAsia="en-US" w:bidi="ar-SA"/>
        </w:rPr>
        <w:br w:type="page"/>
      </w:r>
    </w:p>
    <w:p w14:paraId="4ECB452C">
      <w:pPr>
        <w:pStyle w:val="29"/>
        <w:rPr>
          <w:rFonts w:hint="default" w:eastAsia="宋体"/>
          <w:lang w:val="en-US" w:eastAsia="zh-CN"/>
        </w:rPr>
      </w:pPr>
      <w:r>
        <w:rPr>
          <w:rFonts w:hint="eastAsia"/>
          <w:lang w:val="en-US" w:eastAsia="zh-CN"/>
        </w:rPr>
        <w:t>对运维工具使用情况进行评估,为后期工作提供指导意见</w:t>
      </w:r>
    </w:p>
    <w:tbl>
      <w:tblPr>
        <w:tblStyle w:val="26"/>
        <w:tblW w:w="1452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75"/>
        <w:gridCol w:w="1307"/>
        <w:gridCol w:w="2874"/>
        <w:gridCol w:w="2543"/>
        <w:gridCol w:w="1986"/>
        <w:gridCol w:w="3196"/>
        <w:gridCol w:w="1343"/>
      </w:tblGrid>
      <w:tr w14:paraId="53DC77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1" w:hRule="atLeast"/>
        </w:trPr>
        <w:tc>
          <w:tcPr>
            <w:tcW w:w="1275" w:type="dxa"/>
            <w:shd w:val="clear" w:color="auto" w:fill="E5E5E5"/>
          </w:tcPr>
          <w:p w14:paraId="7EE1B977">
            <w:pPr>
              <w:spacing w:before="215" w:line="289" w:lineRule="auto"/>
              <w:ind w:left="538" w:right="110" w:hanging="422"/>
              <w:rPr>
                <w:rFonts w:ascii="宋体" w:hAnsi="宋体" w:eastAsia="宋体" w:cs="宋体"/>
                <w:sz w:val="20"/>
                <w:szCs w:val="20"/>
              </w:rPr>
            </w:pPr>
            <w:r>
              <w:rPr>
                <w:rFonts w:ascii="宋体" w:hAnsi="宋体" w:eastAsia="宋体" w:cs="宋体"/>
                <w:b/>
                <w:bCs/>
                <w:spacing w:val="6"/>
                <w:sz w:val="20"/>
                <w:szCs w:val="20"/>
              </w:rPr>
              <w:t>运维工具分</w:t>
            </w:r>
            <w:r>
              <w:rPr>
                <w:rFonts w:ascii="宋体" w:hAnsi="宋体" w:eastAsia="宋体" w:cs="宋体"/>
                <w:b/>
                <w:bCs/>
                <w:spacing w:val="-2"/>
                <w:sz w:val="20"/>
                <w:szCs w:val="20"/>
              </w:rPr>
              <w:t>类</w:t>
            </w:r>
          </w:p>
        </w:tc>
        <w:tc>
          <w:tcPr>
            <w:tcW w:w="1307" w:type="dxa"/>
            <w:shd w:val="clear" w:color="auto" w:fill="E5E5E5"/>
          </w:tcPr>
          <w:p w14:paraId="20B64E8B">
            <w:pPr>
              <w:pStyle w:val="27"/>
              <w:spacing w:line="303" w:lineRule="auto"/>
            </w:pPr>
          </w:p>
          <w:p w14:paraId="43C7740C">
            <w:pPr>
              <w:spacing w:before="65" w:line="229" w:lineRule="auto"/>
              <w:ind w:left="238"/>
              <w:rPr>
                <w:rFonts w:ascii="宋体" w:hAnsi="宋体" w:eastAsia="宋体" w:cs="宋体"/>
                <w:sz w:val="20"/>
                <w:szCs w:val="20"/>
              </w:rPr>
            </w:pPr>
            <w:r>
              <w:rPr>
                <w:rFonts w:ascii="宋体" w:hAnsi="宋体" w:eastAsia="宋体" w:cs="宋体"/>
                <w:b/>
                <w:bCs/>
                <w:spacing w:val="5"/>
                <w:sz w:val="20"/>
                <w:szCs w:val="20"/>
              </w:rPr>
              <w:t>工具名称</w:t>
            </w:r>
          </w:p>
        </w:tc>
        <w:tc>
          <w:tcPr>
            <w:tcW w:w="2874" w:type="dxa"/>
            <w:shd w:val="clear" w:color="auto" w:fill="E5E5E5"/>
          </w:tcPr>
          <w:p w14:paraId="4BA76FBC">
            <w:pPr>
              <w:spacing w:before="214" w:line="229" w:lineRule="auto"/>
              <w:ind w:left="528"/>
              <w:rPr>
                <w:rFonts w:ascii="宋体" w:hAnsi="宋体" w:eastAsia="宋体" w:cs="宋体"/>
                <w:sz w:val="20"/>
                <w:szCs w:val="20"/>
              </w:rPr>
            </w:pPr>
            <w:r>
              <w:rPr>
                <w:rFonts w:ascii="宋体" w:hAnsi="宋体" w:eastAsia="宋体" w:cs="宋体"/>
                <w:b/>
                <w:bCs/>
                <w:spacing w:val="6"/>
                <w:sz w:val="20"/>
                <w:szCs w:val="20"/>
              </w:rPr>
              <w:t>主要功能</w:t>
            </w:r>
          </w:p>
          <w:p w14:paraId="3FA396CA">
            <w:pPr>
              <w:spacing w:before="63" w:line="228" w:lineRule="auto"/>
              <w:ind w:left="121"/>
              <w:rPr>
                <w:rFonts w:ascii="宋体" w:hAnsi="宋体" w:eastAsia="宋体" w:cs="宋体"/>
                <w:sz w:val="20"/>
                <w:szCs w:val="20"/>
              </w:rPr>
            </w:pPr>
            <w:r>
              <w:rPr>
                <w:rFonts w:ascii="宋体" w:hAnsi="宋体" w:eastAsia="宋体" w:cs="宋体"/>
                <w:b/>
                <w:bCs/>
                <w:spacing w:val="4"/>
                <w:sz w:val="20"/>
                <w:szCs w:val="20"/>
              </w:rPr>
              <w:t>（关键功能说明）</w:t>
            </w:r>
          </w:p>
        </w:tc>
        <w:tc>
          <w:tcPr>
            <w:tcW w:w="2543" w:type="dxa"/>
            <w:shd w:val="clear" w:color="auto" w:fill="E5E5E5"/>
          </w:tcPr>
          <w:p w14:paraId="5BFA149F">
            <w:pPr>
              <w:spacing w:before="214" w:line="228" w:lineRule="auto"/>
              <w:rPr>
                <w:rFonts w:ascii="宋体" w:hAnsi="宋体" w:eastAsia="宋体" w:cs="宋体"/>
                <w:b/>
                <w:bCs/>
                <w:spacing w:val="6"/>
                <w:sz w:val="20"/>
                <w:szCs w:val="20"/>
              </w:rPr>
            </w:pPr>
            <w:r>
              <w:rPr>
                <w:rFonts w:ascii="宋体" w:hAnsi="宋体" w:eastAsia="宋体" w:cs="宋体"/>
                <w:b/>
                <w:bCs/>
                <w:spacing w:val="6"/>
                <w:sz w:val="20"/>
                <w:szCs w:val="20"/>
              </w:rPr>
              <w:t>使用情况说明</w:t>
            </w:r>
          </w:p>
          <w:p w14:paraId="3017CCB8">
            <w:pPr>
              <w:spacing w:before="214" w:line="228" w:lineRule="auto"/>
              <w:rPr>
                <w:rFonts w:ascii="宋体" w:hAnsi="宋体" w:eastAsia="宋体" w:cs="宋体"/>
                <w:sz w:val="20"/>
                <w:szCs w:val="20"/>
              </w:rPr>
            </w:pPr>
            <w:r>
              <w:rPr>
                <w:rFonts w:ascii="宋体" w:hAnsi="宋体" w:eastAsia="宋体" w:cs="宋体"/>
                <w:b/>
                <w:bCs/>
                <w:spacing w:val="6"/>
                <w:sz w:val="20"/>
                <w:szCs w:val="20"/>
              </w:rPr>
              <w:t>（工具使用的客户及项目）</w:t>
            </w:r>
          </w:p>
        </w:tc>
        <w:tc>
          <w:tcPr>
            <w:tcW w:w="1986" w:type="dxa"/>
            <w:shd w:val="clear" w:color="auto" w:fill="E5E5E5"/>
          </w:tcPr>
          <w:p w14:paraId="379C8942">
            <w:pPr>
              <w:spacing w:before="58" w:line="228" w:lineRule="auto"/>
              <w:rPr>
                <w:rFonts w:ascii="宋体" w:hAnsi="宋体" w:eastAsia="宋体" w:cs="宋体"/>
                <w:sz w:val="20"/>
                <w:szCs w:val="20"/>
              </w:rPr>
            </w:pPr>
            <w:r>
              <w:rPr>
                <w:rFonts w:ascii="宋体" w:hAnsi="宋体" w:eastAsia="宋体" w:cs="宋体"/>
                <w:b/>
                <w:bCs/>
                <w:spacing w:val="5"/>
                <w:sz w:val="20"/>
                <w:szCs w:val="20"/>
              </w:rPr>
              <w:t>工具来源</w:t>
            </w:r>
          </w:p>
          <w:p w14:paraId="774D844B">
            <w:pPr>
              <w:spacing w:before="66" w:line="263" w:lineRule="auto"/>
              <w:ind w:right="18"/>
              <w:rPr>
                <w:rFonts w:ascii="宋体" w:hAnsi="宋体" w:eastAsia="宋体" w:cs="宋体"/>
                <w:sz w:val="20"/>
                <w:szCs w:val="20"/>
              </w:rPr>
            </w:pPr>
            <w:r>
              <w:rPr>
                <w:rFonts w:ascii="宋体" w:hAnsi="宋体" w:eastAsia="宋体" w:cs="宋体"/>
                <w:b/>
                <w:bCs/>
                <w:spacing w:val="-1"/>
                <w:sz w:val="20"/>
                <w:szCs w:val="20"/>
              </w:rPr>
              <w:t>（开源工具、</w:t>
            </w:r>
            <w:r>
              <w:rPr>
                <w:rFonts w:ascii="宋体" w:hAnsi="宋体" w:eastAsia="宋体" w:cs="宋体"/>
                <w:spacing w:val="-44"/>
                <w:sz w:val="20"/>
                <w:szCs w:val="20"/>
              </w:rPr>
              <w:t xml:space="preserve"> </w:t>
            </w:r>
            <w:r>
              <w:rPr>
                <w:rFonts w:ascii="宋体" w:hAnsi="宋体" w:eastAsia="宋体" w:cs="宋体"/>
                <w:b/>
                <w:bCs/>
                <w:spacing w:val="-1"/>
                <w:sz w:val="20"/>
                <w:szCs w:val="20"/>
              </w:rPr>
              <w:t>自主</w:t>
            </w:r>
            <w:r>
              <w:rPr>
                <w:rFonts w:ascii="宋体" w:hAnsi="宋体" w:eastAsia="宋体" w:cs="宋体"/>
                <w:b/>
                <w:bCs/>
                <w:spacing w:val="3"/>
                <w:sz w:val="20"/>
                <w:szCs w:val="20"/>
              </w:rPr>
              <w:t>研发、外购的说明）</w:t>
            </w:r>
          </w:p>
        </w:tc>
        <w:tc>
          <w:tcPr>
            <w:tcW w:w="3196" w:type="dxa"/>
            <w:shd w:val="clear" w:color="auto" w:fill="E5E5E5"/>
          </w:tcPr>
          <w:p w14:paraId="6C971D8C">
            <w:pPr>
              <w:pStyle w:val="27"/>
              <w:spacing w:line="303" w:lineRule="auto"/>
            </w:pPr>
          </w:p>
          <w:p w14:paraId="08BC938F">
            <w:pPr>
              <w:spacing w:before="65" w:line="226" w:lineRule="auto"/>
              <w:ind w:left="761"/>
              <w:rPr>
                <w:rFonts w:ascii="宋体" w:hAnsi="宋体" w:eastAsia="宋体" w:cs="宋体"/>
                <w:sz w:val="20"/>
                <w:szCs w:val="20"/>
              </w:rPr>
            </w:pPr>
            <w:r>
              <w:rPr>
                <w:rFonts w:ascii="宋体" w:hAnsi="宋体" w:eastAsia="宋体" w:cs="宋体"/>
                <w:b/>
                <w:bCs/>
                <w:spacing w:val="7"/>
                <w:sz w:val="20"/>
                <w:szCs w:val="20"/>
              </w:rPr>
              <w:t>使用效果评估意见</w:t>
            </w:r>
          </w:p>
        </w:tc>
        <w:tc>
          <w:tcPr>
            <w:tcW w:w="1343" w:type="dxa"/>
            <w:shd w:val="clear" w:color="auto" w:fill="E5E5E5"/>
          </w:tcPr>
          <w:p w14:paraId="24D959C9">
            <w:pPr>
              <w:spacing w:before="215" w:line="290" w:lineRule="auto"/>
              <w:ind w:left="476" w:right="302" w:hanging="169"/>
              <w:rPr>
                <w:rFonts w:ascii="宋体" w:hAnsi="宋体" w:eastAsia="宋体" w:cs="宋体"/>
                <w:sz w:val="20"/>
                <w:szCs w:val="20"/>
              </w:rPr>
            </w:pPr>
            <w:r>
              <w:rPr>
                <w:rFonts w:ascii="宋体" w:hAnsi="宋体" w:eastAsia="宋体" w:cs="宋体"/>
                <w:b/>
                <w:bCs/>
                <w:spacing w:val="4"/>
                <w:sz w:val="20"/>
                <w:szCs w:val="20"/>
              </w:rPr>
              <w:t>评价人/</w:t>
            </w:r>
            <w:r>
              <w:rPr>
                <w:rFonts w:ascii="宋体" w:hAnsi="宋体" w:eastAsia="宋体" w:cs="宋体"/>
                <w:b/>
                <w:bCs/>
                <w:spacing w:val="-1"/>
                <w:sz w:val="20"/>
                <w:szCs w:val="20"/>
              </w:rPr>
              <w:t>时间</w:t>
            </w:r>
          </w:p>
        </w:tc>
      </w:tr>
      <w:tr w14:paraId="035CDB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85" w:hRule="atLeast"/>
        </w:trPr>
        <w:tc>
          <w:tcPr>
            <w:tcW w:w="1275" w:type="dxa"/>
            <w:vMerge w:val="restart"/>
          </w:tcPr>
          <w:p w14:paraId="32026088">
            <w:pPr>
              <w:pStyle w:val="27"/>
              <w:spacing w:line="261" w:lineRule="auto"/>
            </w:pPr>
          </w:p>
          <w:p w14:paraId="58067455">
            <w:pPr>
              <w:pStyle w:val="27"/>
              <w:spacing w:line="261" w:lineRule="auto"/>
            </w:pPr>
          </w:p>
          <w:p w14:paraId="7E82D8AB">
            <w:pPr>
              <w:pStyle w:val="27"/>
              <w:spacing w:line="261" w:lineRule="auto"/>
            </w:pPr>
          </w:p>
          <w:p w14:paraId="6B87F779">
            <w:pPr>
              <w:pStyle w:val="27"/>
              <w:spacing w:line="262" w:lineRule="auto"/>
            </w:pPr>
          </w:p>
          <w:p w14:paraId="13D816E2">
            <w:pPr>
              <w:spacing w:before="78" w:line="243" w:lineRule="auto"/>
              <w:ind w:left="404" w:right="154" w:hanging="241"/>
              <w:rPr>
                <w:rFonts w:ascii="宋体" w:hAnsi="宋体" w:eastAsia="宋体" w:cs="宋体"/>
                <w:sz w:val="24"/>
                <w:szCs w:val="24"/>
              </w:rPr>
            </w:pPr>
            <w:r>
              <w:rPr>
                <w:rFonts w:ascii="宋体" w:hAnsi="宋体" w:eastAsia="宋体" w:cs="宋体"/>
                <w:b/>
                <w:bCs/>
                <w:spacing w:val="-5"/>
                <w:sz w:val="24"/>
                <w:szCs w:val="24"/>
              </w:rPr>
              <w:t>过程管理</w:t>
            </w:r>
            <w:r>
              <w:rPr>
                <w:rFonts w:ascii="宋体" w:hAnsi="宋体" w:eastAsia="宋体" w:cs="宋体"/>
                <w:b/>
                <w:bCs/>
                <w:spacing w:val="-9"/>
                <w:sz w:val="24"/>
                <w:szCs w:val="24"/>
              </w:rPr>
              <w:t>工具</w:t>
            </w:r>
          </w:p>
        </w:tc>
        <w:tc>
          <w:tcPr>
            <w:tcW w:w="1307" w:type="dxa"/>
          </w:tcPr>
          <w:p w14:paraId="5ECB910D">
            <w:pPr>
              <w:pStyle w:val="27"/>
              <w:spacing w:line="296" w:lineRule="auto"/>
            </w:pPr>
          </w:p>
          <w:p w14:paraId="188A2FBF">
            <w:pPr>
              <w:pStyle w:val="27"/>
              <w:spacing w:line="297" w:lineRule="auto"/>
            </w:pPr>
          </w:p>
          <w:p w14:paraId="5B3C6F9B">
            <w:pPr>
              <w:pStyle w:val="27"/>
              <w:spacing w:line="297" w:lineRule="auto"/>
            </w:pPr>
          </w:p>
          <w:p w14:paraId="4266336A">
            <w:pPr>
              <w:spacing w:line="219" w:lineRule="auto"/>
              <w:ind w:left="184"/>
              <w:rPr>
                <w:rFonts w:hint="default" w:ascii="宋体" w:hAnsi="宋体" w:eastAsia="宋体" w:cs="宋体"/>
                <w:sz w:val="24"/>
                <w:szCs w:val="24"/>
                <w:lang w:val="en-US" w:eastAsia="zh-CN"/>
              </w:rPr>
            </w:pPr>
            <w:r>
              <w:rPr>
                <w:rFonts w:hint="eastAsia"/>
                <w:lang w:val="en-US" w:eastAsia="zh-CN"/>
              </w:rPr>
              <w:t>DASUSM平台</w:t>
            </w:r>
          </w:p>
        </w:tc>
        <w:tc>
          <w:tcPr>
            <w:tcW w:w="2874" w:type="dxa"/>
          </w:tcPr>
          <w:p w14:paraId="53967372">
            <w:pPr>
              <w:spacing w:before="12" w:line="234" w:lineRule="auto"/>
              <w:ind w:left="118" w:right="107" w:firstLine="6"/>
              <w:rPr>
                <w:rFonts w:ascii="宋体" w:hAnsi="宋体" w:eastAsia="宋体" w:cs="宋体"/>
                <w:sz w:val="24"/>
                <w:szCs w:val="24"/>
              </w:rPr>
            </w:pPr>
            <w:r>
              <w:rPr>
                <w:rFonts w:hint="eastAsia" w:ascii="宋体" w:hAnsi="宋体" w:eastAsia="宋体" w:cs="宋体"/>
                <w:sz w:val="24"/>
                <w:szCs w:val="24"/>
              </w:rPr>
              <w:t>DASUSM（明御 ® 运维审计与风险控制系统）集成了运维会话审计、身份权限管理、资产集中管控、工单流程管理等核心功能，还包含实时操作监控、风险策略告警、合规报表输出等模块，能够帮助企业对运维操作进行全流程安全管控与审计溯源，实现 “操作可追溯</w:t>
            </w:r>
          </w:p>
        </w:tc>
        <w:tc>
          <w:tcPr>
            <w:tcW w:w="2543" w:type="dxa"/>
          </w:tcPr>
          <w:p w14:paraId="4121CDDF">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中国广电重庆BOSS系统存储维保项目</w:t>
            </w:r>
          </w:p>
          <w:p w14:paraId="7D3819D7">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湖北永硒生物科技有限公司伊维菌素超聚硒实验数据平台运维服务项目</w:t>
            </w:r>
          </w:p>
          <w:p w14:paraId="47FDD41F">
            <w:pPr>
              <w:keepNext w:val="0"/>
              <w:keepLines w:val="0"/>
              <w:widowControl/>
              <w:numPr>
                <w:ilvl w:val="0"/>
                <w:numId w:val="2"/>
              </w:numPr>
              <w:suppressLineNumbers w:val="0"/>
              <w:spacing w:before="0" w:beforeAutospacing="1" w:after="0" w:afterAutospacing="1"/>
              <w:ind w:left="0" w:hanging="360"/>
            </w:pPr>
          </w:p>
          <w:p w14:paraId="3AE23130">
            <w:pPr>
              <w:spacing w:before="12" w:line="234" w:lineRule="auto"/>
              <w:ind w:left="118" w:right="107" w:firstLine="6"/>
              <w:rPr>
                <w:rFonts w:hint="default" w:ascii="宋体" w:hAnsi="宋体" w:eastAsia="宋体" w:cs="宋体"/>
                <w:sz w:val="24"/>
                <w:szCs w:val="24"/>
                <w:lang w:val="en-US" w:eastAsia="zh-CN"/>
              </w:rPr>
            </w:pPr>
          </w:p>
        </w:tc>
        <w:tc>
          <w:tcPr>
            <w:tcW w:w="1986" w:type="dxa"/>
          </w:tcPr>
          <w:p w14:paraId="0C828649">
            <w:pPr>
              <w:pStyle w:val="27"/>
            </w:pPr>
          </w:p>
          <w:p w14:paraId="6F177F7C">
            <w:pPr>
              <w:spacing w:before="78" w:line="220" w:lineRule="auto"/>
              <w:ind w:left="560"/>
              <w:rPr>
                <w:rFonts w:hint="default" w:ascii="宋体" w:hAnsi="宋体" w:eastAsia="宋体" w:cs="宋体"/>
                <w:sz w:val="24"/>
                <w:szCs w:val="24"/>
                <w:lang w:val="en-US" w:eastAsia="zh-CN"/>
              </w:rPr>
            </w:pPr>
            <w:r>
              <w:rPr>
                <w:rFonts w:hint="eastAsia" w:ascii="宋体" w:hAnsi="宋体" w:cs="宋体"/>
                <w:sz w:val="24"/>
                <w:szCs w:val="24"/>
                <w:lang w:val="en-US" w:eastAsia="zh-CN"/>
              </w:rPr>
              <w:t>外购</w:t>
            </w:r>
          </w:p>
        </w:tc>
        <w:tc>
          <w:tcPr>
            <w:tcW w:w="3196" w:type="dxa"/>
          </w:tcPr>
          <w:p w14:paraId="2BA5B7F2">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rPr>
              <w:t>对ECS、RDS、SLB等云产品的资源负载、性能指标进行实时监控，如快速定位CPU利用率 100% 的云服务器并及时优化，保障业务系统稳定运行</w:t>
            </w:r>
            <w:r>
              <w:rPr>
                <w:rFonts w:hint="eastAsia" w:ascii="宋体" w:hAnsi="宋体" w:eastAsia="宋体" w:cs="宋体"/>
                <w:sz w:val="24"/>
                <w:szCs w:val="24"/>
                <w:lang w:eastAsia="zh-CN"/>
              </w:rPr>
              <w:t>。</w:t>
            </w:r>
            <w:r>
              <w:rPr>
                <w:rFonts w:hint="default" w:ascii="宋体" w:hAnsi="宋体" w:eastAsia="宋体" w:cs="宋体"/>
                <w:sz w:val="24"/>
                <w:szCs w:val="24"/>
              </w:rPr>
              <w:t>借助其安全模块成功拦截了针对政务服务平台的 SQL 注入</w:t>
            </w:r>
          </w:p>
        </w:tc>
        <w:tc>
          <w:tcPr>
            <w:tcW w:w="1343" w:type="dxa"/>
          </w:tcPr>
          <w:p w14:paraId="1CEE44F3">
            <w:pPr>
              <w:pStyle w:val="27"/>
              <w:spacing w:line="261" w:lineRule="auto"/>
            </w:pPr>
          </w:p>
          <w:p w14:paraId="437084F9">
            <w:pPr>
              <w:pStyle w:val="27"/>
              <w:spacing w:line="261" w:lineRule="auto"/>
            </w:pPr>
          </w:p>
          <w:p w14:paraId="25A73EB0">
            <w:pPr>
              <w:pStyle w:val="27"/>
              <w:spacing w:line="262" w:lineRule="auto"/>
            </w:pPr>
          </w:p>
          <w:p w14:paraId="5F3A7797">
            <w:pPr>
              <w:pStyle w:val="27"/>
              <w:spacing w:line="262" w:lineRule="auto"/>
            </w:pPr>
          </w:p>
          <w:p w14:paraId="537E81D9">
            <w:pPr>
              <w:spacing w:before="26" w:line="239" w:lineRule="auto"/>
              <w:ind w:left="120"/>
              <w:rPr>
                <w:rFonts w:hint="default" w:ascii="宋体" w:hAnsi="宋体" w:eastAsia="宋体" w:cs="宋体"/>
                <w:sz w:val="24"/>
                <w:szCs w:val="24"/>
                <w:lang w:val="en-US" w:eastAsia="zh-CN"/>
              </w:rPr>
            </w:pPr>
            <w:r>
              <w:rPr>
                <w:rFonts w:hint="eastAsia" w:ascii="宋体" w:hAnsi="宋体" w:cs="宋体"/>
                <w:spacing w:val="-2"/>
                <w:sz w:val="24"/>
                <w:szCs w:val="24"/>
                <w:lang w:val="en-US" w:eastAsia="zh-CN"/>
              </w:rPr>
              <w:t>宋海滨2025.12.22</w:t>
            </w:r>
            <w:r>
              <w:rPr>
                <w:rFonts w:ascii="宋体" w:hAnsi="宋体" w:eastAsia="宋体" w:cs="宋体"/>
                <w:spacing w:val="-2"/>
                <w:sz w:val="24"/>
                <w:szCs w:val="24"/>
              </w:rPr>
            </w:r>
            <w:r>
              <w:rPr>
                <w:rFonts w:hint="eastAsia" w:ascii="宋体" w:hAnsi="宋体" w:cs="宋体"/>
                <w:spacing w:val="-2"/>
                <w:sz w:val="24"/>
                <w:szCs w:val="24"/>
                <w:lang w:val="en-US" w:eastAsia="zh-CN"/>
              </w:rPr>
            </w:r>
            <w:r>
              <w:rPr>
                <w:rFonts w:ascii="宋体" w:hAnsi="宋体" w:eastAsia="宋体" w:cs="宋体"/>
                <w:spacing w:val="-2"/>
                <w:sz w:val="24"/>
                <w:szCs w:val="24"/>
              </w:rPr>
            </w:r>
            <w:r>
              <w:rPr>
                <w:rFonts w:hint="eastAsia" w:ascii="宋体" w:hAnsi="宋体" w:cs="宋体"/>
                <w:spacing w:val="-2"/>
                <w:sz w:val="24"/>
                <w:szCs w:val="24"/>
                <w:lang w:val="en-US" w:eastAsia="zh-CN"/>
              </w:rPr>
            </w:r>
          </w:p>
        </w:tc>
      </w:tr>
      <w:tr w14:paraId="17E756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72" w:hRule="atLeast"/>
        </w:trPr>
        <w:tc>
          <w:tcPr>
            <w:tcW w:w="1275" w:type="dxa"/>
            <w:vMerge w:val="continue"/>
          </w:tcPr>
          <w:p w14:paraId="10261300">
            <w:pPr>
              <w:spacing w:before="78" w:line="243" w:lineRule="auto"/>
              <w:ind w:left="404" w:right="154" w:hanging="241"/>
              <w:rPr>
                <w:rFonts w:ascii="宋体" w:hAnsi="宋体" w:eastAsia="宋体" w:cs="宋体"/>
                <w:b/>
                <w:bCs/>
                <w:spacing w:val="-5"/>
                <w:sz w:val="24"/>
                <w:szCs w:val="24"/>
              </w:rPr>
            </w:pPr>
          </w:p>
        </w:tc>
        <w:tc>
          <w:tcPr>
            <w:tcW w:w="1307" w:type="dxa"/>
          </w:tcPr>
          <w:p w14:paraId="05881015">
            <w:pPr>
              <w:spacing w:line="219" w:lineRule="auto"/>
              <w:ind w:left="184"/>
              <w:rPr>
                <w:rFonts w:hint="eastAsia"/>
                <w:lang w:val="en-US" w:eastAsia="zh-CN"/>
              </w:rPr>
            </w:pPr>
          </w:p>
          <w:p w14:paraId="03CF2B68">
            <w:pPr>
              <w:spacing w:line="219" w:lineRule="auto"/>
              <w:ind w:left="184"/>
              <w:rPr>
                <w:rFonts w:hint="eastAsia"/>
                <w:lang w:val="en-US" w:eastAsia="zh-CN"/>
              </w:rPr>
            </w:pPr>
          </w:p>
          <w:p w14:paraId="57CC88AB">
            <w:pPr>
              <w:spacing w:line="219" w:lineRule="auto"/>
              <w:ind w:left="184"/>
              <w:rPr>
                <w:rFonts w:hint="default"/>
                <w:lang w:val="en-US" w:eastAsia="zh-CN"/>
              </w:rPr>
            </w:pPr>
            <w:r>
              <w:rPr>
                <w:rFonts w:hint="eastAsia"/>
                <w:lang w:val="en-US" w:eastAsia="zh-CN"/>
              </w:rPr>
              <w:t>禅道项目管理工具</w:t>
            </w:r>
          </w:p>
        </w:tc>
        <w:tc>
          <w:tcPr>
            <w:tcW w:w="2874" w:type="dxa"/>
          </w:tcPr>
          <w:p w14:paraId="0B23ED43">
            <w:pPr>
              <w:spacing w:before="12" w:line="234" w:lineRule="auto"/>
              <w:ind w:left="118" w:right="107" w:firstLine="6"/>
              <w:rPr>
                <w:rFonts w:hint="eastAsia" w:ascii="宋体" w:hAnsi="宋体" w:eastAsia="宋体" w:cs="宋体"/>
                <w:sz w:val="24"/>
                <w:szCs w:val="24"/>
              </w:rPr>
            </w:pPr>
            <w:r>
              <w:rPr>
                <w:rFonts w:hint="eastAsia" w:ascii="宋体" w:hAnsi="宋体" w:eastAsia="宋体" w:cs="宋体"/>
                <w:sz w:val="24"/>
                <w:szCs w:val="24"/>
              </w:rPr>
              <w:t>集成了需求管理、任务分解、缺陷跟踪、测试用例管理 等核心功能，还包含 项目计划与进度看板、燃尽图、团队协作 等模块，能够帮助团队对项目全生命周期进行结构化、可视化的管控，实现 “过程全透明、进度可跟踪、责任可追溯” 的高效协同。</w:t>
            </w:r>
          </w:p>
        </w:tc>
        <w:tc>
          <w:tcPr>
            <w:tcW w:w="2543" w:type="dxa"/>
          </w:tcPr>
          <w:p w14:paraId="07B1AC40">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中国广电重庆BOSS系统存储维保项目</w:t>
            </w:r>
          </w:p>
          <w:p w14:paraId="6F14AC13">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湖北永硒生物科技有限公司伊维菌素超聚硒实验数据平台运维服务项目</w:t>
            </w:r>
          </w:p>
          <w:p w14:paraId="58D3E0D8">
            <w:pPr>
              <w:spacing w:before="12" w:line="234" w:lineRule="auto"/>
              <w:ind w:left="118" w:right="107" w:firstLine="6"/>
              <w:rPr>
                <w:rFonts w:hint="eastAsia" w:ascii="宋体" w:hAnsi="宋体" w:eastAsia="宋体" w:cs="宋体"/>
                <w:sz w:val="24"/>
                <w:szCs w:val="24"/>
                <w:lang w:val="en-US" w:eastAsia="zh-CN"/>
              </w:rPr>
            </w:pPr>
          </w:p>
        </w:tc>
        <w:tc>
          <w:tcPr>
            <w:tcW w:w="1986" w:type="dxa"/>
          </w:tcPr>
          <w:p w14:paraId="69AD5C79">
            <w:pPr>
              <w:spacing w:before="78" w:line="220" w:lineRule="auto"/>
              <w:ind w:left="560"/>
              <w:rPr>
                <w:rFonts w:hint="eastAsia" w:ascii="宋体" w:hAnsi="宋体" w:cs="宋体"/>
                <w:sz w:val="24"/>
                <w:szCs w:val="24"/>
                <w:lang w:val="en-US" w:eastAsia="zh-CN"/>
              </w:rPr>
            </w:pPr>
          </w:p>
          <w:p w14:paraId="7577C50A">
            <w:pPr>
              <w:spacing w:before="78" w:line="220" w:lineRule="auto"/>
              <w:ind w:left="560"/>
              <w:rPr>
                <w:rFonts w:hint="default" w:ascii="宋体" w:hAnsi="宋体" w:cs="宋体"/>
                <w:sz w:val="24"/>
                <w:szCs w:val="24"/>
                <w:lang w:val="en-US" w:eastAsia="zh-CN"/>
              </w:rPr>
            </w:pPr>
            <w:r>
              <w:rPr>
                <w:rFonts w:hint="eastAsia" w:ascii="宋体" w:hAnsi="宋体" w:cs="宋体"/>
                <w:sz w:val="24"/>
                <w:szCs w:val="24"/>
                <w:lang w:val="en-US" w:eastAsia="zh-CN"/>
              </w:rPr>
              <w:t>开源</w:t>
            </w:r>
          </w:p>
        </w:tc>
        <w:tc>
          <w:tcPr>
            <w:tcW w:w="3196" w:type="dxa"/>
          </w:tcPr>
          <w:p w14:paraId="228F274A">
            <w:pPr>
              <w:spacing w:before="12" w:line="234" w:lineRule="auto"/>
              <w:ind w:left="118" w:right="107" w:firstLine="6"/>
              <w:rPr>
                <w:rFonts w:hint="default" w:ascii="宋体" w:hAnsi="宋体" w:eastAsia="宋体" w:cs="宋体"/>
                <w:sz w:val="24"/>
                <w:szCs w:val="24"/>
              </w:rPr>
            </w:pPr>
            <w:r>
              <w:rPr>
                <w:rFonts w:hint="eastAsia" w:ascii="宋体" w:hAnsi="宋体" w:cs="宋体"/>
                <w:sz w:val="24"/>
                <w:szCs w:val="24"/>
                <w:lang w:val="en-US" w:eastAsia="zh-CN"/>
              </w:rPr>
              <w:t>对</w:t>
            </w:r>
            <w:r>
              <w:rPr>
                <w:rFonts w:hint="default" w:ascii="宋体" w:hAnsi="宋体" w:eastAsia="宋体" w:cs="宋体"/>
                <w:sz w:val="24"/>
                <w:szCs w:val="24"/>
              </w:rPr>
              <w:t>计划、任务进度、缺陷修复进行全过程跟踪管理。如快速定位并协同处理因需求变更导致的开发任务阻塞，确保关键里程碑的按时达成，保障项目交付物有序推进。借助其测试与缺陷管理模块，高效跟进并闭环了在上线前测试阶段发现的多个核心功能问题，保障交付质量</w:t>
            </w:r>
          </w:p>
        </w:tc>
        <w:tc>
          <w:tcPr>
            <w:tcW w:w="1343" w:type="dxa"/>
          </w:tcPr>
          <w:p w14:paraId="4F935ACD">
            <w:pPr>
              <w:spacing w:before="26" w:line="239" w:lineRule="auto"/>
              <w:ind w:left="120"/>
              <w:rPr>
                <w:rFonts w:hint="eastAsia" w:ascii="宋体" w:hAnsi="宋体" w:cs="宋体"/>
                <w:spacing w:val="-2"/>
                <w:sz w:val="24"/>
                <w:szCs w:val="24"/>
                <w:lang w:val="en-US" w:eastAsia="zh-CN"/>
              </w:rPr>
            </w:pPr>
            <w:r>
              <w:rPr>
                <w:rFonts w:hint="eastAsia" w:ascii="宋体" w:hAnsi="宋体" w:cs="宋体"/>
                <w:spacing w:val="-2"/>
                <w:sz w:val="24"/>
                <w:szCs w:val="24"/>
                <w:lang w:val="en-US" w:eastAsia="zh-CN"/>
              </w:rPr>
              <w:t>宋海滨2025.12.22</w:t>
            </w:r>
            <w:r>
              <w:rPr>
                <w:rFonts w:ascii="宋体" w:hAnsi="宋体" w:eastAsia="宋体" w:cs="宋体"/>
                <w:spacing w:val="-2"/>
                <w:sz w:val="24"/>
                <w:szCs w:val="24"/>
              </w:rPr>
            </w:r>
            <w:r>
              <w:rPr>
                <w:rFonts w:hint="eastAsia" w:ascii="宋体" w:hAnsi="宋体" w:cs="宋体"/>
                <w:spacing w:val="-2"/>
                <w:sz w:val="24"/>
                <w:szCs w:val="24"/>
                <w:lang w:val="en-US" w:eastAsia="zh-CN"/>
              </w:rPr>
            </w:r>
            <w:r>
              <w:rPr>
                <w:rFonts w:ascii="宋体" w:hAnsi="宋体" w:eastAsia="宋体" w:cs="宋体"/>
                <w:spacing w:val="-2"/>
                <w:sz w:val="24"/>
                <w:szCs w:val="24"/>
              </w:rPr>
            </w:r>
            <w:r>
              <w:rPr>
                <w:rFonts w:hint="eastAsia" w:ascii="宋体" w:hAnsi="宋体" w:cs="宋体"/>
                <w:spacing w:val="-2"/>
                <w:sz w:val="24"/>
                <w:szCs w:val="24"/>
                <w:lang w:val="en-US" w:eastAsia="zh-CN"/>
              </w:rPr>
            </w:r>
          </w:p>
        </w:tc>
      </w:tr>
      <w:tr w14:paraId="5F2102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79" w:hRule="atLeast"/>
        </w:trPr>
        <w:tc>
          <w:tcPr>
            <w:tcW w:w="1275" w:type="dxa"/>
          </w:tcPr>
          <w:p w14:paraId="376FA2E1">
            <w:pPr>
              <w:pStyle w:val="27"/>
            </w:pPr>
          </w:p>
          <w:p w14:paraId="131E0AF8">
            <w:pPr>
              <w:pStyle w:val="27"/>
            </w:pPr>
          </w:p>
          <w:p w14:paraId="4094A09D">
            <w:pPr>
              <w:spacing w:before="78" w:line="220" w:lineRule="auto"/>
              <w:ind w:left="163"/>
              <w:rPr>
                <w:rFonts w:ascii="宋体" w:hAnsi="宋体" w:eastAsia="宋体" w:cs="宋体"/>
                <w:sz w:val="24"/>
                <w:szCs w:val="24"/>
              </w:rPr>
            </w:pPr>
            <w:r>
              <w:rPr>
                <w:rFonts w:ascii="宋体" w:hAnsi="宋体" w:eastAsia="宋体" w:cs="宋体"/>
                <w:b/>
                <w:bCs/>
                <w:spacing w:val="-5"/>
                <w:sz w:val="24"/>
                <w:szCs w:val="24"/>
              </w:rPr>
              <w:t>监控工具</w:t>
            </w:r>
          </w:p>
        </w:tc>
        <w:tc>
          <w:tcPr>
            <w:tcW w:w="1307" w:type="dxa"/>
          </w:tcPr>
          <w:p w14:paraId="35553DE6">
            <w:pPr>
              <w:pStyle w:val="27"/>
              <w:spacing w:line="262" w:lineRule="auto"/>
            </w:pPr>
          </w:p>
          <w:p w14:paraId="37301BB0">
            <w:pPr>
              <w:pStyle w:val="27"/>
              <w:spacing w:line="262" w:lineRule="auto"/>
            </w:pPr>
          </w:p>
          <w:p w14:paraId="73B80C30">
            <w:pPr>
              <w:pStyle w:val="27"/>
              <w:spacing w:line="262" w:lineRule="auto"/>
            </w:pPr>
          </w:p>
          <w:p w14:paraId="663199D7">
            <w:pPr>
              <w:pStyle w:val="27"/>
              <w:spacing w:line="262" w:lineRule="auto"/>
            </w:pPr>
          </w:p>
          <w:p w14:paraId="26BE631B">
            <w:pPr>
              <w:spacing w:before="78" w:line="242" w:lineRule="auto"/>
              <w:ind w:left="179" w:right="119" w:hanging="73"/>
              <w:rPr>
                <w:rFonts w:hint="default" w:ascii="宋体" w:hAnsi="宋体" w:eastAsia="宋体" w:cs="宋体"/>
                <w:sz w:val="24"/>
                <w:szCs w:val="24"/>
                <w:lang w:val="en-US" w:eastAsia="zh-CN"/>
              </w:rPr>
            </w:pPr>
            <w:r>
              <w:rPr>
                <w:rFonts w:hint="eastAsia" w:ascii="宋体" w:hAnsi="宋体" w:cs="宋体"/>
                <w:sz w:val="24"/>
                <w:szCs w:val="24"/>
                <w:lang w:val="en-US" w:eastAsia="zh-CN"/>
              </w:rPr>
              <w:t>阿里云飞天企业版</w:t>
            </w:r>
          </w:p>
        </w:tc>
        <w:tc>
          <w:tcPr>
            <w:tcW w:w="2874" w:type="dxa"/>
          </w:tcPr>
          <w:p w14:paraId="1EE14143">
            <w:pPr>
              <w:spacing w:before="12" w:line="234" w:lineRule="auto"/>
              <w:ind w:left="118" w:right="107" w:firstLine="6"/>
              <w:rPr>
                <w:rFonts w:hint="eastAsia" w:ascii="宋体" w:hAnsi="宋体" w:eastAsia="宋体" w:cs="宋体"/>
                <w:sz w:val="24"/>
                <w:szCs w:val="24"/>
                <w:lang w:val="en-US" w:eastAsia="zh-CN"/>
              </w:rPr>
            </w:pPr>
            <w:r>
              <w:rPr>
                <w:rFonts w:hint="eastAsia" w:ascii="宋体" w:hAnsi="宋体" w:eastAsia="宋体" w:cs="宋体"/>
                <w:sz w:val="24"/>
                <w:szCs w:val="24"/>
              </w:rPr>
              <w:t>集成了对云服务器（ECS）、云数据库（RDS）、负载均衡（SLB）、对象存储（OSS）等核心云资源的全方位监控，通过数据管理服务（DMS）、运维审计与统一监控模块，实现了对资源性能、容量、安全及可用性的实时感知与智能预警。该平台可帮助企业对云计算资源进行集中化、精细化的运营与管理，适用于政务、企业数字化转型等对稳定性与连续性要求极高的场景</w:t>
            </w:r>
          </w:p>
          <w:p w14:paraId="43A2DC61">
            <w:pPr>
              <w:spacing w:before="12" w:line="234" w:lineRule="auto"/>
              <w:ind w:left="118" w:right="107" w:firstLine="6"/>
              <w:rPr>
                <w:rFonts w:ascii="宋体" w:hAnsi="宋体" w:eastAsia="宋体" w:cs="宋体"/>
                <w:sz w:val="24"/>
                <w:szCs w:val="24"/>
              </w:rPr>
            </w:pPr>
          </w:p>
        </w:tc>
        <w:tc>
          <w:tcPr>
            <w:tcW w:w="2543" w:type="dxa"/>
          </w:tcPr>
          <w:p w14:paraId="7B96A988">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中国广电重庆BOSS系统存储维保项目</w:t>
            </w:r>
          </w:p>
          <w:p w14:paraId="30EB07FD">
            <w:pPr>
              <w:spacing w:before="12" w:line="234" w:lineRule="auto"/>
              <w:ind w:left="118" w:right="107" w:firstLine="6"/>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湖北永硒生物科技有限公司伊维菌素超聚硒实验数据平台运维服务项目</w:t>
            </w:r>
          </w:p>
          <w:p w14:paraId="5FB3ADAA">
            <w:pPr>
              <w:spacing w:before="12" w:line="234" w:lineRule="auto"/>
              <w:ind w:left="118" w:right="107" w:firstLine="6"/>
              <w:rPr>
                <w:rFonts w:hint="eastAsia" w:ascii="宋体" w:hAnsi="宋体" w:eastAsia="宋体" w:cs="宋体"/>
                <w:sz w:val="24"/>
                <w:szCs w:val="24"/>
              </w:rPr>
            </w:pPr>
          </w:p>
        </w:tc>
        <w:tc>
          <w:tcPr>
            <w:tcW w:w="1986" w:type="dxa"/>
          </w:tcPr>
          <w:p w14:paraId="42FCEB6B">
            <w:pPr>
              <w:pStyle w:val="27"/>
            </w:pPr>
          </w:p>
          <w:p w14:paraId="516A2520">
            <w:pPr>
              <w:spacing w:before="78" w:line="221" w:lineRule="auto"/>
              <w:ind w:left="521"/>
              <w:rPr>
                <w:rFonts w:hint="eastAsia" w:ascii="宋体" w:hAnsi="宋体" w:eastAsia="宋体" w:cs="宋体"/>
                <w:sz w:val="24"/>
                <w:szCs w:val="24"/>
                <w:lang w:eastAsia="zh-CN"/>
              </w:rPr>
            </w:pPr>
            <w:r>
              <w:rPr>
                <w:rFonts w:hint="eastAsia" w:ascii="宋体" w:hAnsi="宋体" w:cs="宋体"/>
                <w:spacing w:val="-3"/>
                <w:sz w:val="24"/>
                <w:szCs w:val="24"/>
                <w:lang w:val="en-US" w:eastAsia="zh-CN"/>
              </w:rPr>
              <w:t>外购</w:t>
            </w:r>
          </w:p>
        </w:tc>
        <w:tc>
          <w:tcPr>
            <w:tcW w:w="3196" w:type="dxa"/>
          </w:tcPr>
          <w:p w14:paraId="57D158D4">
            <w:pPr>
              <w:spacing w:before="12" w:line="234" w:lineRule="auto"/>
              <w:ind w:left="118" w:right="107" w:firstLine="6"/>
              <w:rPr>
                <w:rFonts w:hint="eastAsia" w:ascii="宋体" w:hAnsi="宋体" w:eastAsia="宋体" w:cs="宋体"/>
                <w:sz w:val="24"/>
                <w:szCs w:val="24"/>
                <w:lang w:val="en-US" w:eastAsia="zh-CN"/>
              </w:rPr>
            </w:pPr>
            <w:r>
              <w:rPr>
                <w:rFonts w:hint="eastAsia" w:ascii="宋体" w:hAnsi="宋体" w:eastAsia="宋体" w:cs="宋体"/>
                <w:sz w:val="24"/>
                <w:szCs w:val="24"/>
              </w:rPr>
              <w:t>依托阿里云飞天企业版提供的全方位监控能力，实现了对云服务器（ECS）、云数据库（RDS）、负载均衡（SLB）等核心资源的性能指标与运行状态的实时监控与智能预警。通过其完善的监控仪表盘与告警规则，能够快速发现并定位因流量激增、资源瓶颈或异常访问导致的系统性能劣化风险。例如，在业务高峰期间，监控平台及时捕获到数据库连接数逼近阈值并触发预警，运维团队据此迅速进行扩容与优化，有效避免了服务响应延迟或中断，保障了系统在高负载下的持续稳定运行与优质用户体验。该监控体系为运维决策提供了实时、准确的数据支撑，是实现系统高可用性与业务连续性的关键保障。</w:t>
            </w:r>
          </w:p>
        </w:tc>
        <w:tc>
          <w:tcPr>
            <w:tcW w:w="1343" w:type="dxa"/>
          </w:tcPr>
          <w:p w14:paraId="35D31F92">
            <w:pPr>
              <w:pStyle w:val="27"/>
              <w:spacing w:line="261" w:lineRule="auto"/>
            </w:pPr>
          </w:p>
          <w:p w14:paraId="0B991145">
            <w:pPr>
              <w:pStyle w:val="27"/>
              <w:spacing w:line="262" w:lineRule="auto"/>
            </w:pPr>
          </w:p>
          <w:p w14:paraId="2800D3F1">
            <w:pPr>
              <w:pStyle w:val="27"/>
              <w:spacing w:line="262" w:lineRule="auto"/>
            </w:pPr>
          </w:p>
          <w:p w14:paraId="0039364E">
            <w:pPr>
              <w:pStyle w:val="27"/>
              <w:spacing w:line="262" w:lineRule="auto"/>
            </w:pPr>
          </w:p>
          <w:p w14:paraId="30751067">
            <w:pPr>
              <w:spacing w:before="26" w:line="239" w:lineRule="auto"/>
              <w:ind w:left="120"/>
              <w:rPr>
                <w:rFonts w:hint="default" w:ascii="宋体" w:hAnsi="宋体" w:eastAsia="宋体" w:cs="宋体"/>
                <w:sz w:val="24"/>
                <w:szCs w:val="24"/>
                <w:lang w:val="en-US" w:eastAsia="zh-CN"/>
              </w:rPr>
            </w:pPr>
            <w:r>
              <w:rPr>
                <w:rFonts w:hint="eastAsia" w:ascii="宋体" w:hAnsi="宋体" w:cs="宋体"/>
                <w:spacing w:val="-2"/>
                <w:sz w:val="24"/>
                <w:szCs w:val="24"/>
                <w:lang w:val="en-US" w:eastAsia="zh-CN"/>
              </w:rPr>
              <w:t>宋海滨2025.12.22</w:t>
            </w:r>
            <w:r>
              <w:rPr>
                <w:rFonts w:ascii="宋体" w:hAnsi="宋体" w:eastAsia="宋体" w:cs="宋体"/>
                <w:spacing w:val="-2"/>
                <w:sz w:val="24"/>
                <w:szCs w:val="24"/>
              </w:rPr>
            </w:r>
            <w:r>
              <w:rPr>
                <w:rFonts w:hint="eastAsia" w:ascii="宋体" w:hAnsi="宋体" w:cs="宋体"/>
                <w:spacing w:val="-2"/>
                <w:sz w:val="24"/>
                <w:szCs w:val="24"/>
                <w:lang w:val="en-US" w:eastAsia="zh-CN"/>
              </w:rPr>
            </w:r>
            <w:r>
              <w:rPr>
                <w:rFonts w:ascii="宋体" w:hAnsi="宋体" w:eastAsia="宋体" w:cs="宋体"/>
                <w:spacing w:val="-2"/>
                <w:sz w:val="24"/>
                <w:szCs w:val="24"/>
              </w:rPr>
            </w:r>
            <w:r>
              <w:rPr>
                <w:rFonts w:hint="eastAsia" w:ascii="宋体" w:hAnsi="宋体" w:cs="宋体"/>
                <w:spacing w:val="-2"/>
                <w:sz w:val="24"/>
                <w:szCs w:val="24"/>
                <w:lang w:val="en-US" w:eastAsia="zh-CN"/>
              </w:rPr>
            </w:r>
          </w:p>
        </w:tc>
      </w:tr>
    </w:tbl>
    <w:p w14:paraId="7EC7E5F0">
      <w:pPr>
        <w:pStyle w:val="29"/>
        <w:ind w:left="0" w:leftChars="0" w:firstLine="0" w:firstLineChars="0"/>
        <w:rPr>
          <w:rFonts w:hint="default"/>
          <w:lang w:val="en-US" w:eastAsia="zh-CN"/>
        </w:rPr>
      </w:pPr>
    </w:p>
    <w:sectPr>
      <w:pgSz w:w="16838" w:h="11906" w:orient="landscape"/>
      <w:pgMar w:top="1800" w:right="1417" w:bottom="1800" w:left="144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EAC1E">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D30E66F"/>
    <w:multiLevelType w:val="multilevel"/>
    <w:tmpl w:val="0D30E6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4621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1241</Words>
  <Characters>1362</Characters>
  <Lines>0</Lines>
  <Paragraphs>0</Paragraphs>
  <TotalTime>0</TotalTime>
  <ScaleCrop>false</ScaleCrop>
  <LinksUpToDate>false</LinksUpToDate>
  <CharactersWithSpaces>1381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2026-05-25T03:48:02Z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