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D2147C">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5895"/>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t>重庆市鹧鸪哨信息技术有限责任公司</w:t>
      </w:r>
      <w:bookmarkEnd w:id="0"/>
    </w:p>
    <w:p w14:paraId="78F4680A">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17926"/>
      <w:r>
        <w:rPr>
          <w:rFonts w:hint="eastAsia"/>
          <w:lang w:val="en-US" w:eastAsia="zh-CN"/>
        </w:rPr>
        <w:t>组织架构与部门职责说明</w:t>
      </w:r>
      <w:bookmarkEnd w:id="1"/>
    </w:p>
    <w:p w14:paraId="39ABA3F1">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文件编号：ZGS-02-01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28834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2C16472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编制部门:人力部</w:t>
            </w:r>
          </w:p>
        </w:tc>
        <w:tc>
          <w:tcPr>
            <w:tcW w:w="2708" w:type="dxa"/>
          </w:tcPr>
          <w:p w14:paraId="5E98A47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46735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5484394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1CF10E5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DB4B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6B399D8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批准人:李文琼</w:t>
            </w:r>
          </w:p>
        </w:tc>
        <w:tc>
          <w:tcPr>
            <w:tcW w:w="2708" w:type="dxa"/>
          </w:tcPr>
          <w:p w14:paraId="6DED178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5AE6E64D">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21B4AC45">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5AC9CA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3AD7785A">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6BF31F9B">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56B3515F">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32184E0F">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0B8499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2DAC7574">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w:t>
            </w:r>
            <w:r>
              <w:rPr>
                <w:rFonts w:hint="eastAsia" w:ascii="宋体" w:hAnsi="宋体" w:cs="宋体"/>
                <w:spacing w:val="3"/>
                <w:position w:val="1"/>
                <w:sz w:val="20"/>
                <w:szCs w:val="20"/>
                <w:lang w:val="en-US" w:eastAsia="zh-CN"/>
              </w:rPr>
              <w:t>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19" w:type="dxa"/>
          </w:tcPr>
          <w:p w14:paraId="66AEB252">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7600AE54">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46039F57">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李文琼</w:t>
            </w:r>
          </w:p>
        </w:tc>
      </w:tr>
      <w:tr w14:paraId="311539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5A9AD86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3C6720B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5755895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0279032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45A80C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0D74BCB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44C042D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21DA685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092674A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3BE03D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5CB4431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3334D29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76B1F99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52C0FEB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6477FFCF">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200BF092">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0C43B4BA">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_Toc15895 </w:instrText>
          </w:r>
          <w:r>
            <w:rPr>
              <w:rFonts w:hint="eastAsia" w:ascii="宋体" w:hAnsi="宋体" w:eastAsia="宋体" w:cs="宋体"/>
              <w:szCs w:val="24"/>
            </w:rPr>
            <w:fldChar w:fldCharType="separate"/>
          </w:r>
          <w:r>
            <w:rPr>
              <w:rFonts w:hint="eastAsia"/>
              <w:lang w:val="en-US" w:eastAsia="zh-CN"/>
            </w:rPr>
            <w:t>重庆市鹧鸪哨信息技术有限责任公司</w:t>
          </w:r>
          <w:r>
            <w:tab/>
          </w:r>
          <w:r>
            <w:fldChar w:fldCharType="begin"/>
          </w:r>
          <w:r>
            <w:instrText xml:space="preserve"> PAGEREF _Toc15895 \h </w:instrText>
          </w:r>
          <w:r>
            <w:fldChar w:fldCharType="separate"/>
          </w:r>
          <w:r>
            <w:t>1</w:t>
          </w:r>
          <w:r>
            <w:fldChar w:fldCharType="end"/>
          </w:r>
          <w:r>
            <w:rPr>
              <w:rFonts w:hint="eastAsia" w:ascii="宋体" w:hAnsi="宋体" w:eastAsia="宋体" w:cs="宋体"/>
              <w:szCs w:val="24"/>
            </w:rPr>
            <w:fldChar w:fldCharType="end"/>
          </w:r>
        </w:p>
        <w:p w14:paraId="5C8D646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_Toc17926 </w:instrText>
          </w:r>
          <w:r>
            <w:rPr>
              <w:rFonts w:hint="eastAsia" w:ascii="宋体" w:hAnsi="宋体" w:eastAsia="宋体" w:cs="宋体"/>
              <w:szCs w:val="24"/>
            </w:rPr>
            <w:fldChar w:fldCharType="separate"/>
          </w:r>
          <w:r>
            <w:rPr>
              <w:rFonts w:hint="eastAsia"/>
              <w:lang w:val="en-US" w:eastAsia="zh-CN"/>
            </w:rPr>
            <w:t>组织架构与部门职责说明</w:t>
          </w:r>
          <w:r>
            <w:tab/>
          </w:r>
          <w:r>
            <w:fldChar w:fldCharType="begin"/>
          </w:r>
          <w:r>
            <w:instrText xml:space="preserve"> PAGEREF _Toc17926 \h </w:instrText>
          </w:r>
          <w:r>
            <w:fldChar w:fldCharType="separate"/>
          </w:r>
          <w:r>
            <w:t>1</w:t>
          </w:r>
          <w:r>
            <w:fldChar w:fldCharType="end"/>
          </w:r>
          <w:r>
            <w:rPr>
              <w:rFonts w:hint="eastAsia" w:ascii="宋体" w:hAnsi="宋体" w:eastAsia="宋体" w:cs="宋体"/>
              <w:szCs w:val="24"/>
            </w:rPr>
            <w:fldChar w:fldCharType="end"/>
          </w:r>
        </w:p>
        <w:p w14:paraId="7223C03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_Toc27622 </w:instrText>
          </w:r>
          <w:r>
            <w:rPr>
              <w:rFonts w:hint="eastAsia" w:ascii="宋体" w:hAnsi="宋体" w:eastAsia="宋体" w:cs="宋体"/>
              <w:szCs w:val="24"/>
            </w:rPr>
            <w:fldChar w:fldCharType="separate"/>
          </w:r>
          <w:r>
            <w:rPr>
              <w:rFonts w:hint="default"/>
            </w:rPr>
            <w:t xml:space="preserve">1. </w:t>
          </w:r>
          <w:r>
            <w:rPr>
              <w:rFonts w:hint="eastAsia"/>
              <w:lang w:val="en-US" w:eastAsia="zh-CN"/>
            </w:rPr>
            <w:t>组织架构图</w:t>
          </w:r>
          <w:r>
            <w:tab/>
          </w:r>
          <w:r>
            <w:fldChar w:fldCharType="begin"/>
          </w:r>
          <w:r>
            <w:instrText xml:space="preserve"> PAGEREF _Toc27622 \h </w:instrText>
          </w:r>
          <w:r>
            <w:fldChar w:fldCharType="separate"/>
          </w:r>
          <w:r>
            <w:t>4</w:t>
          </w:r>
          <w:r>
            <w:fldChar w:fldCharType="end"/>
          </w:r>
          <w:r>
            <w:rPr>
              <w:rFonts w:hint="eastAsia" w:ascii="宋体" w:hAnsi="宋体" w:eastAsia="宋体" w:cs="宋体"/>
              <w:szCs w:val="24"/>
            </w:rPr>
            <w:fldChar w:fldCharType="end"/>
          </w:r>
        </w:p>
        <w:p w14:paraId="3F89C39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_Toc27691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部门职责说明</w:t>
          </w:r>
          <w:r>
            <w:tab/>
          </w:r>
          <w:r>
            <w:fldChar w:fldCharType="begin"/>
          </w:r>
          <w:r>
            <w:instrText xml:space="preserve"> PAGEREF _Toc27691 \h </w:instrText>
          </w:r>
          <w:r>
            <w:fldChar w:fldCharType="separate"/>
          </w:r>
          <w:r>
            <w:t>4</w:t>
          </w:r>
          <w:r>
            <w:fldChar w:fldCharType="end"/>
          </w:r>
          <w:r>
            <w:rPr>
              <w:rFonts w:hint="eastAsia" w:ascii="宋体" w:hAnsi="宋体" w:eastAsia="宋体" w:cs="宋体"/>
              <w:szCs w:val="24"/>
            </w:rPr>
            <w:fldChar w:fldCharType="end"/>
          </w:r>
        </w:p>
        <w:p w14:paraId="25903F4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_Toc21722 </w:instrText>
          </w:r>
          <w:r>
            <w:rPr>
              <w:rFonts w:hint="eastAsia" w:ascii="宋体" w:hAnsi="宋体" w:eastAsia="宋体" w:cs="宋体"/>
              <w:szCs w:val="24"/>
            </w:rPr>
            <w:fldChar w:fldCharType="separate"/>
          </w:r>
          <w:r>
            <w:rPr>
              <w:rFonts w:hint="default"/>
            </w:rPr>
            <w:t xml:space="preserve">2.1. </w:t>
          </w:r>
          <w:r>
            <w:rPr>
              <w:rFonts w:hint="eastAsia"/>
              <w:lang w:val="en-US" w:eastAsia="zh-CN"/>
            </w:rPr>
            <w:t>运维部</w:t>
          </w:r>
          <w:r>
            <w:tab/>
          </w:r>
          <w:r>
            <w:fldChar w:fldCharType="begin"/>
          </w:r>
          <w:r>
            <w:instrText xml:space="preserve"> PAGEREF _Toc21722 \h </w:instrText>
          </w:r>
          <w:r>
            <w:fldChar w:fldCharType="separate"/>
          </w:r>
          <w:r>
            <w:t>4</w:t>
          </w:r>
          <w:r>
            <w:fldChar w:fldCharType="end"/>
          </w:r>
          <w:r>
            <w:rPr>
              <w:rFonts w:hint="eastAsia" w:ascii="宋体" w:hAnsi="宋体" w:eastAsia="宋体" w:cs="宋体"/>
              <w:szCs w:val="24"/>
            </w:rPr>
            <w:fldChar w:fldCharType="end"/>
          </w:r>
        </w:p>
        <w:p w14:paraId="3FDC2AA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_Toc24773 </w:instrText>
          </w:r>
          <w:r>
            <w:rPr>
              <w:rFonts w:hint="eastAsia" w:ascii="宋体" w:hAnsi="宋体" w:eastAsia="宋体" w:cs="宋体"/>
              <w:szCs w:val="24"/>
            </w:rPr>
            <w:fldChar w:fldCharType="separate"/>
          </w:r>
          <w:r>
            <w:rPr>
              <w:rFonts w:hint="default"/>
              <w:lang w:val="en-US" w:eastAsia="zh-CN"/>
            </w:rPr>
            <w:t xml:space="preserve">2.1.1. </w:t>
          </w:r>
          <w:r>
            <w:rPr>
              <w:rFonts w:hint="eastAsia"/>
              <w:lang w:val="en-US" w:eastAsia="zh-CN"/>
            </w:rPr>
            <w:t>服务台</w:t>
          </w:r>
          <w:r>
            <w:tab/>
          </w:r>
          <w:r>
            <w:fldChar w:fldCharType="begin"/>
          </w:r>
          <w:r>
            <w:instrText xml:space="preserve"> PAGEREF _Toc24773 \h </w:instrText>
          </w:r>
          <w:r>
            <w:fldChar w:fldCharType="separate"/>
          </w:r>
          <w:r>
            <w:t>5</w:t>
          </w:r>
          <w:r>
            <w:fldChar w:fldCharType="end"/>
          </w:r>
          <w:r>
            <w:rPr>
              <w:rFonts w:hint="eastAsia" w:ascii="宋体" w:hAnsi="宋体" w:eastAsia="宋体" w:cs="宋体"/>
              <w:szCs w:val="24"/>
            </w:rPr>
            <w:fldChar w:fldCharType="end"/>
          </w:r>
        </w:p>
        <w:p w14:paraId="3D1F43B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_Toc9168 </w:instrText>
          </w:r>
          <w:r>
            <w:rPr>
              <w:rFonts w:hint="eastAsia" w:ascii="宋体" w:hAnsi="宋体" w:eastAsia="宋体" w:cs="宋体"/>
              <w:szCs w:val="24"/>
            </w:rPr>
            <w:fldChar w:fldCharType="separate"/>
          </w:r>
          <w:r>
            <w:rPr>
              <w:rFonts w:hint="default"/>
              <w:lang w:val="en-US" w:eastAsia="zh-CN"/>
            </w:rPr>
            <w:t xml:space="preserve">2.1.2. </w:t>
          </w:r>
          <w:r>
            <w:rPr>
              <w:rFonts w:hint="eastAsia"/>
              <w:lang w:val="en-US" w:eastAsia="zh-CN"/>
            </w:rPr>
            <w:t>备件库</w:t>
          </w:r>
          <w:r>
            <w:tab/>
          </w:r>
          <w:r>
            <w:fldChar w:fldCharType="begin"/>
          </w:r>
          <w:r>
            <w:instrText xml:space="preserve"> PAGEREF _Toc9168 \h </w:instrText>
          </w:r>
          <w:r>
            <w:fldChar w:fldCharType="separate"/>
          </w:r>
          <w:r>
            <w:t>5</w:t>
          </w:r>
          <w:r>
            <w:fldChar w:fldCharType="end"/>
          </w:r>
          <w:r>
            <w:rPr>
              <w:rFonts w:hint="eastAsia" w:ascii="宋体" w:hAnsi="宋体" w:eastAsia="宋体" w:cs="宋体"/>
              <w:szCs w:val="24"/>
            </w:rPr>
            <w:fldChar w:fldCharType="end"/>
          </w:r>
        </w:p>
        <w:p w14:paraId="488713B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_Toc15418 </w:instrText>
          </w:r>
          <w:r>
            <w:rPr>
              <w:rFonts w:hint="eastAsia" w:ascii="宋体" w:hAnsi="宋体" w:eastAsia="宋体" w:cs="宋体"/>
              <w:szCs w:val="24"/>
            </w:rPr>
            <w:fldChar w:fldCharType="separate"/>
          </w:r>
          <w:r>
            <w:rPr>
              <w:rFonts w:hint="default"/>
              <w:lang w:val="en-US" w:eastAsia="zh-CN"/>
            </w:rPr>
            <w:t xml:space="preserve">2.1.3. </w:t>
          </w:r>
          <w:r>
            <w:rPr>
              <w:rFonts w:hint="eastAsia"/>
              <w:lang w:val="en-US" w:eastAsia="zh-CN"/>
            </w:rPr>
            <w:t>服务知识</w:t>
          </w:r>
          <w:r>
            <w:tab/>
          </w:r>
          <w:r>
            <w:fldChar w:fldCharType="begin"/>
          </w:r>
          <w:r>
            <w:instrText xml:space="preserve"> PAGEREF _Toc15418 \h </w:instrText>
          </w:r>
          <w:r>
            <w:fldChar w:fldCharType="separate"/>
          </w:r>
          <w:r>
            <w:t>6</w:t>
          </w:r>
          <w:r>
            <w:fldChar w:fldCharType="end"/>
          </w:r>
          <w:r>
            <w:rPr>
              <w:rFonts w:hint="eastAsia" w:ascii="宋体" w:hAnsi="宋体" w:eastAsia="宋体" w:cs="宋体"/>
              <w:szCs w:val="24"/>
            </w:rPr>
            <w:fldChar w:fldCharType="end"/>
          </w:r>
        </w:p>
        <w:p w14:paraId="4DF79FB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_Toc19597 </w:instrText>
          </w:r>
          <w:r>
            <w:rPr>
              <w:rFonts w:hint="eastAsia" w:ascii="宋体" w:hAnsi="宋体" w:eastAsia="宋体" w:cs="宋体"/>
              <w:szCs w:val="24"/>
            </w:rPr>
            <w:fldChar w:fldCharType="separate"/>
          </w:r>
          <w:r>
            <w:rPr>
              <w:rFonts w:hint="default"/>
              <w:lang w:val="en-US" w:eastAsia="zh-CN"/>
            </w:rPr>
            <w:t xml:space="preserve">2.2. </w:t>
          </w:r>
          <w:r>
            <w:rPr>
              <w:rFonts w:hint="eastAsia"/>
              <w:lang w:val="en-US" w:eastAsia="zh-CN"/>
            </w:rPr>
            <w:t>研发部</w:t>
          </w:r>
          <w:r>
            <w:tab/>
          </w:r>
          <w:r>
            <w:fldChar w:fldCharType="begin"/>
          </w:r>
          <w:r>
            <w:instrText xml:space="preserve"> PAGEREF _Toc19597 \h </w:instrText>
          </w:r>
          <w:r>
            <w:fldChar w:fldCharType="separate"/>
          </w:r>
          <w:r>
            <w:t>6</w:t>
          </w:r>
          <w:r>
            <w:fldChar w:fldCharType="end"/>
          </w:r>
          <w:r>
            <w:rPr>
              <w:rFonts w:hint="eastAsia" w:ascii="宋体" w:hAnsi="宋体" w:eastAsia="宋体" w:cs="宋体"/>
              <w:szCs w:val="24"/>
            </w:rPr>
            <w:fldChar w:fldCharType="end"/>
          </w:r>
        </w:p>
        <w:p w14:paraId="0DE3B9F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_Toc21581 </w:instrText>
          </w:r>
          <w:r>
            <w:rPr>
              <w:rFonts w:hint="eastAsia" w:ascii="宋体" w:hAnsi="宋体" w:eastAsia="宋体" w:cs="宋体"/>
              <w:szCs w:val="24"/>
            </w:rPr>
            <w:fldChar w:fldCharType="separate"/>
          </w:r>
          <w:r>
            <w:rPr>
              <w:rFonts w:hint="default"/>
              <w:lang w:val="en-US" w:eastAsia="zh-CN"/>
            </w:rPr>
            <w:t xml:space="preserve">2.3. </w:t>
          </w:r>
          <w:r>
            <w:rPr>
              <w:rFonts w:hint="eastAsia"/>
              <w:lang w:val="en-US" w:eastAsia="zh-CN"/>
            </w:rPr>
            <w:t>人力部</w:t>
          </w:r>
          <w:r>
            <w:tab/>
          </w:r>
          <w:r>
            <w:fldChar w:fldCharType="begin"/>
          </w:r>
          <w:r>
            <w:instrText xml:space="preserve"> PAGEREF _Toc21581 \h </w:instrText>
          </w:r>
          <w:r>
            <w:fldChar w:fldCharType="separate"/>
          </w:r>
          <w:r>
            <w:t>6</w:t>
          </w:r>
          <w:r>
            <w:fldChar w:fldCharType="end"/>
          </w:r>
          <w:r>
            <w:rPr>
              <w:rFonts w:hint="eastAsia" w:ascii="宋体" w:hAnsi="宋体" w:eastAsia="宋体" w:cs="宋体"/>
              <w:szCs w:val="24"/>
            </w:rPr>
            <w:fldChar w:fldCharType="end"/>
          </w:r>
        </w:p>
        <w:p w14:paraId="7B0AA50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_Toc660 </w:instrText>
          </w:r>
          <w:r>
            <w:rPr>
              <w:rFonts w:hint="eastAsia" w:ascii="宋体" w:hAnsi="宋体" w:eastAsia="宋体" w:cs="宋体"/>
              <w:szCs w:val="24"/>
            </w:rPr>
            <w:fldChar w:fldCharType="separate"/>
          </w:r>
          <w:r>
            <w:rPr>
              <w:rFonts w:hint="default"/>
            </w:rPr>
            <w:t xml:space="preserve">2.4. </w:t>
          </w:r>
          <w:r>
            <w:rPr>
              <w:rFonts w:hint="eastAsia"/>
              <w:lang w:val="en-US" w:eastAsia="zh-CN"/>
            </w:rPr>
            <w:t>质量部</w:t>
          </w:r>
          <w:r>
            <w:tab/>
          </w:r>
          <w:r>
            <w:fldChar w:fldCharType="begin"/>
          </w:r>
          <w:r>
            <w:instrText xml:space="preserve"> PAGEREF _Toc660 \h </w:instrText>
          </w:r>
          <w:r>
            <w:fldChar w:fldCharType="separate"/>
          </w:r>
          <w:r>
            <w:t>7</w:t>
          </w:r>
          <w:r>
            <w:fldChar w:fldCharType="end"/>
          </w:r>
          <w:r>
            <w:rPr>
              <w:rFonts w:hint="eastAsia" w:ascii="宋体" w:hAnsi="宋体" w:eastAsia="宋体" w:cs="宋体"/>
              <w:szCs w:val="24"/>
            </w:rPr>
            <w:fldChar w:fldCharType="end"/>
          </w:r>
        </w:p>
        <w:p w14:paraId="1042F57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_Toc6170 </w:instrText>
          </w:r>
          <w:r>
            <w:rPr>
              <w:rFonts w:hint="eastAsia" w:ascii="宋体" w:hAnsi="宋体" w:eastAsia="宋体" w:cs="宋体"/>
              <w:szCs w:val="24"/>
            </w:rPr>
            <w:fldChar w:fldCharType="separate"/>
          </w:r>
          <w:r>
            <w:rPr>
              <w:rFonts w:hint="default"/>
              <w:lang w:val="en-US" w:eastAsia="zh-CN"/>
            </w:rPr>
            <w:t xml:space="preserve">2.5. </w:t>
          </w:r>
          <w:r>
            <w:rPr>
              <w:rFonts w:hint="eastAsia"/>
              <w:lang w:val="en-US" w:eastAsia="zh-CN"/>
            </w:rPr>
            <w:t>采购部</w:t>
          </w:r>
          <w:r>
            <w:tab/>
          </w:r>
          <w:r>
            <w:fldChar w:fldCharType="begin"/>
          </w:r>
          <w:r>
            <w:instrText xml:space="preserve"> PAGEREF _Toc6170 \h </w:instrText>
          </w:r>
          <w:r>
            <w:fldChar w:fldCharType="separate"/>
          </w:r>
          <w:r>
            <w:t>7</w:t>
          </w:r>
          <w:r>
            <w:fldChar w:fldCharType="end"/>
          </w:r>
          <w:r>
            <w:rPr>
              <w:rFonts w:hint="eastAsia" w:ascii="宋体" w:hAnsi="宋体" w:eastAsia="宋体" w:cs="宋体"/>
              <w:szCs w:val="24"/>
            </w:rPr>
            <w:fldChar w:fldCharType="end"/>
          </w:r>
        </w:p>
        <w:p w14:paraId="243D85C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_Toc25514 </w:instrText>
          </w:r>
          <w:r>
            <w:rPr>
              <w:rFonts w:hint="eastAsia" w:ascii="宋体" w:hAnsi="宋体" w:eastAsia="宋体" w:cs="宋体"/>
              <w:szCs w:val="24"/>
            </w:rPr>
            <w:fldChar w:fldCharType="separate"/>
          </w:r>
          <w:r>
            <w:rPr>
              <w:rFonts w:hint="default"/>
              <w:lang w:val="en-US" w:eastAsia="zh-CN"/>
            </w:rPr>
            <w:t xml:space="preserve">2.6. </w:t>
          </w:r>
          <w:r>
            <w:rPr>
              <w:rFonts w:hint="eastAsia"/>
              <w:lang w:val="en-US" w:eastAsia="zh-CN"/>
            </w:rPr>
            <w:t>应急管理部</w:t>
          </w:r>
          <w:r>
            <w:tab/>
          </w:r>
          <w:r>
            <w:fldChar w:fldCharType="begin"/>
          </w:r>
          <w:r>
            <w:instrText xml:space="preserve"> PAGEREF _Toc25514 \h </w:instrText>
          </w:r>
          <w:r>
            <w:fldChar w:fldCharType="separate"/>
          </w:r>
          <w:r>
            <w:t>8</w:t>
          </w:r>
          <w:r>
            <w:fldChar w:fldCharType="end"/>
          </w:r>
          <w:r>
            <w:rPr>
              <w:rFonts w:hint="eastAsia" w:ascii="宋体" w:hAnsi="宋体" w:eastAsia="宋体" w:cs="宋体"/>
              <w:szCs w:val="24"/>
            </w:rPr>
            <w:fldChar w:fldCharType="end"/>
          </w:r>
        </w:p>
        <w:p w14:paraId="03E36C77">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757CF1BF">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1C1041DC">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 w:name="_Toc27622"/>
      <w:r>
        <w:rPr>
          <w:rFonts w:hint="eastAsia"/>
          <w:lang w:val="en-US" w:eastAsia="zh-CN"/>
        </w:rPr>
        <w:t>组织架构图</w:t>
      </w:r>
      <w:bookmarkEnd w:id="2"/>
    </w:p>
    <w:p w14:paraId="4C9FAC4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eastAsiaTheme="minorEastAsia"/>
          <w:lang w:val="en-US" w:eastAsia="zh-CN"/>
        </w:rPr>
        <w:t>重庆市鹧鸪哨信息技术有限责任公司一级部门有运维部、研发部、人力部、质量部、采购部、应急管理部。其中运维部下设服务台、备件库、服务知识。如图1-1所示。</w:t>
      </w:r>
    </w:p>
    <w:p w14:paraId="793AE33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rPr>
      </w:pPr>
      <w:r>
        <w:rPr>
          <w:rFonts w:hint="eastAsia"/>
          <w:lang w:val="en-US" w:eastAsia="zh-CN"/>
        </w:rPr>
        <w:t>图1-1鹧鸪哨组织架构</w:t>
      </w:r>
    </w:p>
    <w:p w14:paraId="47BD684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13" w:name="_GoBack"/>
      <w:r>
        <w:rPr>
          <w:rFonts w:hint="default"/>
          <w:lang w:val="en-US" w:eastAsia="zh-CN"/>
        </w:rPr>
        <w:object>
          <v:shape id="_x0000_i1026" o:spt="75" type="#_x0000_t75" style="height:215.4pt;width:499.8pt;" o:ole="t" filled="f" o:preferrelative="t" stroked="f" coordsize="21600,21600">
            <v:fill on="f" focussize="0,0"/>
            <v:stroke on="f"/>
            <v:imagedata r:id="rId14" o:title=""/>
            <o:lock v:ext="edit" aspectratio="t"/>
            <w10:wrap type="none"/>
            <w10:anchorlock/>
          </v:shape>
          <o:OLEObject Type="Embed" ProgID="Visio.Drawing.15" ShapeID="_x0000_i1026" DrawAspect="Content" ObjectID="_1468075725" r:id="rId13">
            <o:LockedField>false</o:LockedField>
          </o:OLEObject>
        </w:object>
      </w:r>
      <w:bookmarkEnd w:id="13"/>
    </w:p>
    <w:p w14:paraId="26D254AF">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27691"/>
      <w:r>
        <w:rPr>
          <w:rFonts w:hint="eastAsia"/>
          <w:lang w:val="en-US" w:eastAsia="zh-CN"/>
        </w:rPr>
        <w:t>部门职责说明</w:t>
      </w:r>
      <w:bookmarkEnd w:id="3"/>
    </w:p>
    <w:p w14:paraId="24B60AD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_Toc21722"/>
      <w:r>
        <w:rPr>
          <w:rFonts w:hint="eastAsia"/>
          <w:lang w:val="en-US" w:eastAsia="zh-CN"/>
        </w:rPr>
        <w:t>运维部</w:t>
      </w:r>
      <w:bookmarkEnd w:id="4"/>
    </w:p>
    <w:p w14:paraId="190A7512">
      <w:pPr>
        <w:pStyle w:val="40"/>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建立并完善公司运维服务规范，落实事件、问题、变更等ITSS管理流程的落地执行；</w:t>
      </w:r>
    </w:p>
    <w:p w14:paraId="6FB2B6E8">
      <w:pPr>
        <w:pStyle w:val="40"/>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受理客户及业务部门申告，并派发事件受理单和支持派工单；</w:t>
      </w:r>
    </w:p>
    <w:p w14:paraId="73FF0E27">
      <w:pPr>
        <w:pStyle w:val="40"/>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负责跟踪、记录运行维护类项目工作状态，确保运维项目实施过程规范和有序；</w:t>
      </w:r>
    </w:p>
    <w:p w14:paraId="44384EEC">
      <w:pPr>
        <w:pStyle w:val="40"/>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负责按照公司要求准时提交运维服务相关的报表及报告，参与服务质量度量与改进；</w:t>
      </w:r>
    </w:p>
    <w:p w14:paraId="0AC2A404">
      <w:pPr>
        <w:pStyle w:val="40"/>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负责服务知识管理，支撑知识库的构建与持续优化；</w:t>
      </w:r>
    </w:p>
    <w:p w14:paraId="788933C9">
      <w:pPr>
        <w:pStyle w:val="40"/>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负责处理项目现场应急处置方面的需求，建立与研发部、采购部的应急联络机制，以确保应急处置的快速响应；</w:t>
      </w:r>
    </w:p>
    <w:p w14:paraId="3FDAE368">
      <w:pPr>
        <w:pStyle w:val="40"/>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负责协调公司各种资源完成订单交付实施工作，解决产品交付过程中的各种问题；</w:t>
      </w:r>
    </w:p>
    <w:p w14:paraId="4C010A9B">
      <w:pPr>
        <w:pStyle w:val="40"/>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负责产品交付客户后的售后服务工作，解决客户产品运行中的问题以及产品升级迭代服务工作，负责远程或者驻场提供运维服务；</w:t>
      </w:r>
    </w:p>
    <w:p w14:paraId="41DA414C">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rPr>
          <w:rFonts w:hint="eastAsia"/>
        </w:rPr>
        <w:t>负责公司运维服务项目的实施交付，统筹人员、资源与技术保障。</w:t>
      </w:r>
    </w:p>
    <w:p w14:paraId="6B0E1256">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制定与演练应急预案：负责制定公司运维服务各类场景下的应急预案（如系统瘫痪、网络攻击、数据丢失等），并定期组织应急演练，提升团队应急响应能力与实战水平。</w:t>
      </w:r>
    </w:p>
    <w:p w14:paraId="4C9D737F">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建立应急响应机制与流程：明确应急事件的等级划分、响应时限、升级路径与闭环流程，确保突发事件从发现、报告、处置到复盘均有章可循。</w:t>
      </w:r>
    </w:p>
    <w:p w14:paraId="078E62EC">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搭建7×24小时应急联络渠道：确保客户、业务部门及内部团队能通过电话、即时通讯、运维平台等多种方式随时触发应急响应，保证关键时段和节假日响应不中断。</w:t>
      </w:r>
    </w:p>
    <w:p w14:paraId="25799A9E">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组建并培训应急响应小组：明确小组成员、角色职责（如指挥、技术、协调、通报），定期组织应急技能培训，确保突发事件发生时能快速集结并有效处置。</w:t>
      </w:r>
    </w:p>
    <w:p w14:paraId="20CAE8AA">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rPr>
          <w:rFonts w:hint="eastAsia"/>
        </w:rPr>
        <w:t>事后复盘与改进驱动：每次应急处置结束后，组织复盘分析，形成应急报告，并推动问题根因整改，将应急经验反哺至事件、问题及变更管理流程中。</w:t>
      </w:r>
    </w:p>
    <w:p w14:paraId="65EC1BE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24773"/>
      <w:r>
        <w:rPr>
          <w:rFonts w:hint="eastAsia"/>
          <w:lang w:val="en-US" w:eastAsia="zh-CN"/>
        </w:rPr>
        <w:t>服务台</w:t>
      </w:r>
      <w:bookmarkEnd w:id="5"/>
    </w:p>
    <w:p w14:paraId="05BD60C7">
      <w:pPr>
        <w:pStyle w:val="40"/>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负责承担服务台职能,建立并完善</w:t>
      </w:r>
      <w:r>
        <w:rPr>
          <w:rFonts w:hint="eastAsia"/>
          <w:lang w:val="en-US" w:eastAsia="zh-CN"/>
        </w:rPr>
        <w:t>服务台</w:t>
      </w:r>
      <w:r>
        <w:t>服务规范；</w:t>
      </w:r>
    </w:p>
    <w:p w14:paraId="0F21FC10">
      <w:pPr>
        <w:pStyle w:val="40"/>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负责客户满意度调查、分析、改进，对交付项目的执行结果、客户满意度调查结果负责。</w:t>
      </w:r>
    </w:p>
    <w:p w14:paraId="78051600">
      <w:pPr>
        <w:pStyle w:val="40"/>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负责按照公司要求定时提报客户满意度报告；</w:t>
      </w:r>
    </w:p>
    <w:p w14:paraId="22E85D79">
      <w:pPr>
        <w:pStyle w:val="40"/>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负责接听现场应急处置方面的需求，建立与运维部的应急联络机制，以确保应急处置的快速响应。</w:t>
      </w:r>
    </w:p>
    <w:p w14:paraId="3F6B23A2">
      <w:pPr>
        <w:pStyle w:val="40"/>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负责已售产品客户来访（电话、微信、网站等）问题的整理、解答和回访，客户投诉的处理。</w:t>
      </w:r>
    </w:p>
    <w:p w14:paraId="13750BB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9168"/>
      <w:r>
        <w:rPr>
          <w:rFonts w:hint="eastAsia"/>
          <w:lang w:val="en-US" w:eastAsia="zh-CN"/>
        </w:rPr>
        <w:t>备件库</w:t>
      </w:r>
      <w:bookmarkEnd w:id="6"/>
    </w:p>
    <w:p w14:paraId="6387ECC0">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负责物资的收、存工作；</w:t>
      </w:r>
    </w:p>
    <w:p w14:paraId="12F56136">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负责仓储成品、备品备件的库存管理、分类存放，建立备件预警机制，保障运维服务响应时效；</w:t>
      </w:r>
    </w:p>
    <w:p w14:paraId="4CEEB62D">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负责仓库的安全、整理工作，月度盘点工作；</w:t>
      </w:r>
    </w:p>
    <w:p w14:paraId="735B0F23">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负责物品出入库程序查核，做到当日单据当日清理；</w:t>
      </w:r>
    </w:p>
    <w:p w14:paraId="6081F457">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物流路线的优化选择；</w:t>
      </w:r>
    </w:p>
    <w:p w14:paraId="3316B76A">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物流服务商的管理及开发等；</w:t>
      </w:r>
    </w:p>
    <w:p w14:paraId="2BD5A75A">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物流发货流程制定并执行；</w:t>
      </w:r>
    </w:p>
    <w:p w14:paraId="7B57DE3D">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配合运维部建立备件应急调配机制，确保故障处理时备件及时到位。</w:t>
      </w:r>
    </w:p>
    <w:p w14:paraId="6B4B1AD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5418"/>
      <w:r>
        <w:rPr>
          <w:rFonts w:hint="eastAsia"/>
          <w:lang w:val="en-US" w:eastAsia="zh-CN"/>
        </w:rPr>
        <w:t>服务知识</w:t>
      </w:r>
      <w:bookmarkEnd w:id="7"/>
    </w:p>
    <w:p w14:paraId="5FE47829">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知识采集整合：从各类运维实践中采集、验证并整合有效解决方案，形成知识条目。</w:t>
      </w:r>
    </w:p>
    <w:p w14:paraId="73F74CDA">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eastAsia"/>
          <w:lang w:val="en-US" w:eastAsia="zh-CN"/>
        </w:rPr>
        <w:t>服务知识</w:t>
      </w:r>
      <w:r>
        <w:rPr>
          <w:rFonts w:hint="default"/>
          <w:lang w:val="en-US" w:eastAsia="zh-CN"/>
        </w:rPr>
        <w:t>管理：负责</w:t>
      </w:r>
      <w:r>
        <w:rPr>
          <w:rFonts w:hint="eastAsia"/>
          <w:lang w:val="en-US" w:eastAsia="zh-CN"/>
        </w:rPr>
        <w:t>服务知识</w:t>
      </w:r>
      <w:r>
        <w:rPr>
          <w:rFonts w:hint="default"/>
          <w:lang w:val="en-US" w:eastAsia="zh-CN"/>
        </w:rPr>
        <w:t>的构建、更新与维护，确保知识分类清晰、内容准确易用。</w:t>
      </w:r>
    </w:p>
    <w:p w14:paraId="7DC99AA9">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知识共享推广：通过培训和文化建设，推动知识在团队内部的共享、学习与广泛应用。</w:t>
      </w:r>
    </w:p>
    <w:p w14:paraId="78C0FE29">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知识应用支持：赋能一线人员快速应用知识解决问题，提升服务效率与客户满意度。</w:t>
      </w:r>
    </w:p>
    <w:p w14:paraId="6222A8F3">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质量持续改进：监控知识有效性，基于反馈持续优化知识内容与管理流程。</w:t>
      </w:r>
    </w:p>
    <w:p w14:paraId="3DD01E9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19597"/>
      <w:r>
        <w:rPr>
          <w:rFonts w:hint="eastAsia"/>
          <w:lang w:val="en-US" w:eastAsia="zh-CN"/>
        </w:rPr>
        <w:t>研发部</w:t>
      </w:r>
      <w:bookmarkEnd w:id="8"/>
    </w:p>
    <w:p w14:paraId="182BC1EB">
      <w:pPr>
        <w:pStyle w:val="40"/>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软件产品研发的立项、架构设计、程序开发、功能测试等；</w:t>
      </w:r>
    </w:p>
    <w:p w14:paraId="5CA9AFDF">
      <w:pPr>
        <w:pStyle w:val="40"/>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软件项目资料的标准化管理；</w:t>
      </w:r>
    </w:p>
    <w:p w14:paraId="0344BA31">
      <w:pPr>
        <w:pStyle w:val="40"/>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软件使用说明材料的编订和培训，</w:t>
      </w:r>
    </w:p>
    <w:p w14:paraId="72114DA4">
      <w:pPr>
        <w:pStyle w:val="40"/>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负责运维工具的研制与开发。</w:t>
      </w:r>
    </w:p>
    <w:p w14:paraId="612D329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9" w:name="_Toc21581"/>
      <w:r>
        <w:rPr>
          <w:rFonts w:hint="eastAsia"/>
          <w:lang w:val="en-US" w:eastAsia="zh-CN"/>
        </w:rPr>
        <w:t>人力部</w:t>
      </w:r>
      <w:bookmarkEnd w:id="9"/>
    </w:p>
    <w:p w14:paraId="3A361320">
      <w:pPr>
        <w:pStyle w:val="40"/>
        <w:keepNext w:val="0"/>
        <w:keepLines w:val="0"/>
        <w:pageBreakBefore w:val="0"/>
        <w:widowControl w:val="0"/>
        <w:numPr>
          <w:ilvl w:val="0"/>
          <w:numId w:val="7"/>
        </w:numPr>
        <w:kinsoku w:val="0"/>
        <w:wordWrap/>
        <w:overflowPunct/>
        <w:topLinePunct w:val="0"/>
        <w:autoSpaceDE w:val="0"/>
        <w:autoSpaceDN w:val="0"/>
        <w:bidi w:val="0"/>
        <w:adjustRightInd w:val="0"/>
        <w:snapToGrid w:val="0"/>
        <w:textAlignment w:val="baseline"/>
      </w:pPr>
      <w:r>
        <w:t>负责组织发展管理（组织设计、岗位设计、业务流程梳理、任职资格与胜任能力模型）</w:t>
      </w:r>
    </w:p>
    <w:p w14:paraId="273B332B">
      <w:pPr>
        <w:pStyle w:val="40"/>
        <w:keepNext w:val="0"/>
        <w:keepLines w:val="0"/>
        <w:pageBreakBefore w:val="0"/>
        <w:widowControl w:val="0"/>
        <w:numPr>
          <w:ilvl w:val="0"/>
          <w:numId w:val="7"/>
        </w:numPr>
        <w:kinsoku w:val="0"/>
        <w:wordWrap/>
        <w:overflowPunct/>
        <w:topLinePunct w:val="0"/>
        <w:autoSpaceDE w:val="0"/>
        <w:autoSpaceDN w:val="0"/>
        <w:bidi w:val="0"/>
        <w:adjustRightInd w:val="0"/>
        <w:snapToGrid w:val="0"/>
        <w:textAlignment w:val="baseline"/>
      </w:pPr>
      <w:r>
        <w:t>负责人才供应链管理（招聘、培训、人才梯队、人才盘点、职业发展）</w:t>
      </w:r>
    </w:p>
    <w:p w14:paraId="7F098182">
      <w:pPr>
        <w:pStyle w:val="40"/>
        <w:keepNext w:val="0"/>
        <w:keepLines w:val="0"/>
        <w:pageBreakBefore w:val="0"/>
        <w:widowControl w:val="0"/>
        <w:numPr>
          <w:ilvl w:val="0"/>
          <w:numId w:val="7"/>
        </w:numPr>
        <w:kinsoku w:val="0"/>
        <w:wordWrap/>
        <w:overflowPunct/>
        <w:topLinePunct w:val="0"/>
        <w:autoSpaceDE w:val="0"/>
        <w:autoSpaceDN w:val="0"/>
        <w:bidi w:val="0"/>
        <w:adjustRightInd w:val="0"/>
        <w:snapToGrid w:val="0"/>
        <w:textAlignment w:val="baseline"/>
      </w:pPr>
      <w:r>
        <w:t>负责人才价值链管理（薪酬、绩效、激励、动态升降）</w:t>
      </w:r>
    </w:p>
    <w:p w14:paraId="5B7A20B7">
      <w:pPr>
        <w:pStyle w:val="40"/>
        <w:keepNext w:val="0"/>
        <w:keepLines w:val="0"/>
        <w:pageBreakBefore w:val="0"/>
        <w:widowControl w:val="0"/>
        <w:numPr>
          <w:ilvl w:val="0"/>
          <w:numId w:val="7"/>
        </w:numPr>
        <w:kinsoku w:val="0"/>
        <w:wordWrap/>
        <w:overflowPunct/>
        <w:topLinePunct w:val="0"/>
        <w:autoSpaceDE w:val="0"/>
        <w:autoSpaceDN w:val="0"/>
        <w:bidi w:val="0"/>
        <w:adjustRightInd w:val="0"/>
        <w:snapToGrid w:val="0"/>
        <w:textAlignment w:val="baseline"/>
      </w:pPr>
      <w:r>
        <w:t>负责企业文化和员工关系管理；</w:t>
      </w:r>
    </w:p>
    <w:p w14:paraId="5453BD5C">
      <w:pPr>
        <w:pStyle w:val="40"/>
        <w:keepNext w:val="0"/>
        <w:keepLines w:val="0"/>
        <w:pageBreakBefore w:val="0"/>
        <w:widowControl w:val="0"/>
        <w:numPr>
          <w:ilvl w:val="0"/>
          <w:numId w:val="7"/>
        </w:numPr>
        <w:kinsoku w:val="0"/>
        <w:wordWrap/>
        <w:overflowPunct/>
        <w:topLinePunct w:val="0"/>
        <w:autoSpaceDE w:val="0"/>
        <w:autoSpaceDN w:val="0"/>
        <w:bidi w:val="0"/>
        <w:adjustRightInd w:val="0"/>
        <w:snapToGrid w:val="0"/>
        <w:textAlignment w:val="baseline"/>
      </w:pPr>
      <w:r>
        <w:t>负责劳动人事管理等其他事务性工作</w:t>
      </w:r>
    </w:p>
    <w:p w14:paraId="6364467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660"/>
      <w:r>
        <w:rPr>
          <w:rFonts w:hint="eastAsia"/>
          <w:lang w:val="en-US" w:eastAsia="zh-CN"/>
        </w:rPr>
        <w:t>质量部</w:t>
      </w:r>
      <w:bookmarkEnd w:id="10"/>
    </w:p>
    <w:p w14:paraId="1A6E361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宋体"/>
          <w:lang w:val="en-US" w:eastAsia="zh-CN"/>
        </w:rPr>
      </w:pPr>
      <w:r>
        <w:t>质量部作为公司ITSS运维服务质量管理的主导部门，全面负责运维服务全生命周期的质量策划、控制、保证与改进工作。该部门以ITSS标准为指引，建立并持续优化运维服务质量体系，确保服务过程规范、成果可度量、问题可追溯、改进可落地，是推动公司运维服务能力提升与客户满意度持续增长的核心支撑部门。具体职责如下：</w:t>
      </w:r>
    </w:p>
    <w:p w14:paraId="126AB412">
      <w:pPr>
        <w:pStyle w:val="40"/>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rPr>
          <w:rFonts w:hint="eastAsia"/>
        </w:rPr>
      </w:pPr>
      <w:r>
        <w:rPr>
          <w:rFonts w:hint="eastAsia"/>
        </w:rPr>
        <w:t>负责制定、维护并持续优化IT服务质量管理体系及相关流程、规范，确保其符合ITSS标准及业务发展要求。</w:t>
      </w:r>
    </w:p>
    <w:p w14:paraId="1AD48534">
      <w:pPr>
        <w:pStyle w:val="40"/>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rPr>
          <w:rFonts w:hint="eastAsia"/>
        </w:rPr>
      </w:pPr>
      <w:r>
        <w:rPr>
          <w:rFonts w:hint="eastAsia"/>
        </w:rPr>
        <w:t>通过日常检查、审计或抽查等方式，监督各项IT服务过程（如事件、问题、变更管理）的执行符合既定流程与标准。</w:t>
      </w:r>
    </w:p>
    <w:p w14:paraId="67745259">
      <w:pPr>
        <w:pStyle w:val="40"/>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rPr>
          <w:rFonts w:hint="eastAsia"/>
        </w:rPr>
      </w:pPr>
      <w:r>
        <w:rPr>
          <w:rFonts w:hint="eastAsia"/>
        </w:rPr>
        <w:t>定期组织对IT服务交付成果（如系统稳定性、项目交付物、SLA达成情况）进行测量、分析和评估，出具质量报告。</w:t>
      </w:r>
    </w:p>
    <w:p w14:paraId="34DF8786">
      <w:pPr>
        <w:pStyle w:val="40"/>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rPr>
          <w:rFonts w:hint="eastAsia"/>
        </w:rPr>
      </w:pPr>
      <w:r>
        <w:rPr>
          <w:rFonts w:hint="eastAsia"/>
        </w:rPr>
        <w:t>负责识别、记录服务过程中的不符合项，推动责任部门进行根本原因分析并制定纠正预防措施，跟踪验证措施有效性。</w:t>
      </w:r>
    </w:p>
    <w:p w14:paraId="61C4301F">
      <w:pPr>
        <w:pStyle w:val="40"/>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rPr>
          <w:rFonts w:hint="eastAsia"/>
        </w:rPr>
      </w:pPr>
      <w:r>
        <w:rPr>
          <w:rFonts w:hint="eastAsia"/>
        </w:rPr>
        <w:t>主导质量检查单、审计报告、度量指标等质量管理工具和文档的设计与管理，确保质量活动记录完整、可追溯。</w:t>
      </w:r>
    </w:p>
    <w:p w14:paraId="1E607317">
      <w:pPr>
        <w:pStyle w:val="40"/>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rPr>
          <w:rFonts w:hint="eastAsia"/>
        </w:rPr>
      </w:pPr>
      <w:r>
        <w:rPr>
          <w:rFonts w:hint="eastAsia"/>
        </w:rPr>
        <w:t>在公司内部宣贯质量方针与目标，组织相关质量培训，提升全员的质量意识和过程遵循能力。</w:t>
      </w:r>
    </w:p>
    <w:p w14:paraId="2BAAFC83">
      <w:pPr>
        <w:pStyle w:val="40"/>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rPr>
          <w:rFonts w:hint="eastAsia"/>
        </w:rPr>
        <w:t>协助和服务管理部门，基于质量数据分析结果，共同策划和实施服务改进计划，推动服务质量的持续提升。</w:t>
      </w:r>
    </w:p>
    <w:p w14:paraId="795CD2F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6170"/>
      <w:r>
        <w:rPr>
          <w:rFonts w:hint="eastAsia"/>
          <w:lang w:val="en-US" w:eastAsia="zh-CN"/>
        </w:rPr>
        <w:t>采购部</w:t>
      </w:r>
      <w:bookmarkEnd w:id="11"/>
    </w:p>
    <w:p w14:paraId="181438D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采购部承担公司供应链管理与采购执行的核心职能，负责从供应商开发、采购执行到成本控制的全流程管理，保障公司运维服务、研发生产及日常运营所需的物资、配件及外协资源的及时、合规、高效供应。该部门以保障运维服务响应时效与项目交付质量为前提，建立并持续优化采购与物流管理制度，是公司服务能力支撑体系的重要组成部分。具体职责包括：</w:t>
      </w:r>
    </w:p>
    <w:p w14:paraId="5E2EA0D9">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采购制度与流程建设：负责制定并完善公司采购管理相关制度、流程与操作规范，确保采购活动公开、透明、合规、高效。</w:t>
      </w:r>
    </w:p>
    <w:p w14:paraId="4A741350">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供应商开发与管理：建立并维护供应商评估、准入、考核与退出机制，持续优化供应商资源库，保障采购质量与交付稳定性。</w:t>
      </w:r>
    </w:p>
    <w:p w14:paraId="7551D295">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采购执行：负责原材料、配件、外协件、生产及研发设备、仪器工具等各类物资的采购工作，确保满足业务需求与交付时效。</w:t>
      </w:r>
    </w:p>
    <w:p w14:paraId="2D006765">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成本控制与账期管理：通过价格谈判、采购策略优化等方式控制采购成本，统筹管理供应商账期，提升公司资金使用效率。</w:t>
      </w:r>
    </w:p>
    <w:p w14:paraId="0A45D42F">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物流与仓储协同：与运维部备件库协同，优化物流路线与管理发货流程，确保备件及物资在应急响应中的及时调配。</w:t>
      </w:r>
    </w:p>
    <w:p w14:paraId="7E46D70D">
      <w:pPr>
        <w:pStyle w:val="29"/>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采购风险与合规管理：识别采购过程中的合规与供应风险，建立风险预警与应对机制，保障公司采购活动安全、稳定、可持续。</w:t>
      </w:r>
    </w:p>
    <w:p w14:paraId="31620A1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25514"/>
      <w:r>
        <w:rPr>
          <w:rFonts w:hint="eastAsia"/>
          <w:lang w:val="en-US" w:eastAsia="zh-CN"/>
        </w:rPr>
        <w:t>应急管理部</w:t>
      </w:r>
      <w:bookmarkEnd w:id="12"/>
    </w:p>
    <w:p w14:paraId="6E23A1A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根据应急要求，可临时成立支持业务需求的指挥组、技术组等。</w:t>
      </w:r>
    </w:p>
    <w:p w14:paraId="573A0B00">
      <w:pPr>
        <w:pStyle w:val="40"/>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应急体系与预案管理：负责建立、维护公司统一的应急响应体系，制定、评审和更新各类应急预案。</w:t>
      </w:r>
    </w:p>
    <w:p w14:paraId="6ECA75D9">
      <w:pPr>
        <w:pStyle w:val="40"/>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应急监控与预警：实时监控运维服务状态，识别潜在风险并发布预警信息，启动应急响应流程。</w:t>
      </w:r>
    </w:p>
    <w:p w14:paraId="004E2588">
      <w:pPr>
        <w:pStyle w:val="40"/>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应急指挥与协调：作为应急指挥中心，协调内外部资源进行应急处置，确保快速、有序恢复服务。</w:t>
      </w:r>
    </w:p>
    <w:p w14:paraId="7676EE66">
      <w:pPr>
        <w:pStyle w:val="40"/>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应急演练与培训：定期组织应急演练与培训，提升团队的应急响应能力和协同作战水平。</w:t>
      </w:r>
    </w:p>
    <w:p w14:paraId="72693F38">
      <w:pPr>
        <w:pStyle w:val="40"/>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应急复盘与改进：主导应急事件的复盘分析，推动整改措施落地，持续优化应急流程与预案。</w:t>
      </w:r>
    </w:p>
    <w:sectPr>
      <w:headerReference r:id="rId7" w:type="first"/>
      <w:footerReference r:id="rId10" w:type="first"/>
      <w:headerReference r:id="rId5" w:type="default"/>
      <w:footerReference r:id="rId8" w:type="default"/>
      <w:headerReference r:id="rId6" w:type="even"/>
      <w:footerReference r:id="rId9" w:type="even"/>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9D98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D9DB0"/>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2EA6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3DFFC">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重庆市鹧鸪哨信息技术有限责任公司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AFC0F"/>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5F8B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D32FA"/>
    <w:multiLevelType w:val="singleLevel"/>
    <w:tmpl w:val="813D32FA"/>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99D3534D"/>
    <w:multiLevelType w:val="singleLevel"/>
    <w:tmpl w:val="99D3534D"/>
    <w:lvl w:ilvl="0" w:tentative="0">
      <w:start w:val="1"/>
      <w:numFmt w:val="decimal"/>
      <w:lvlText w:val="%1."/>
      <w:lvlJc w:val="left"/>
      <w:pPr>
        <w:ind w:left="425" w:hanging="425"/>
      </w:pPr>
      <w:rPr>
        <w:rFonts w:hint="default"/>
      </w:rPr>
    </w:lvl>
  </w:abstractNum>
  <w:abstractNum w:abstractNumId="3">
    <w:nsid w:val="AE33AD07"/>
    <w:multiLevelType w:val="singleLevel"/>
    <w:tmpl w:val="AE33AD07"/>
    <w:lvl w:ilvl="0" w:tentative="0">
      <w:start w:val="1"/>
      <w:numFmt w:val="decimal"/>
      <w:lvlText w:val="%1."/>
      <w:lvlJc w:val="left"/>
      <w:pPr>
        <w:ind w:left="425" w:hanging="425"/>
      </w:pPr>
      <w:rPr>
        <w:rFonts w:hint="default"/>
      </w:rPr>
    </w:lvl>
  </w:abstractNum>
  <w:abstractNum w:abstractNumId="4">
    <w:nsid w:val="AE771C7D"/>
    <w:multiLevelType w:val="singleLevel"/>
    <w:tmpl w:val="AE771C7D"/>
    <w:lvl w:ilvl="0" w:tentative="0">
      <w:start w:val="1"/>
      <w:numFmt w:val="decimal"/>
      <w:lvlText w:val="%1."/>
      <w:lvlJc w:val="left"/>
      <w:pPr>
        <w:ind w:left="425" w:hanging="425"/>
      </w:pPr>
      <w:rPr>
        <w:rFonts w:hint="default"/>
      </w:rPr>
    </w:lvl>
  </w:abstractNum>
  <w:abstractNum w:abstractNumId="5">
    <w:nsid w:val="C509A27E"/>
    <w:multiLevelType w:val="singleLevel"/>
    <w:tmpl w:val="C509A27E"/>
    <w:lvl w:ilvl="0" w:tentative="0">
      <w:start w:val="1"/>
      <w:numFmt w:val="decimal"/>
      <w:lvlText w:val="%1."/>
      <w:lvlJc w:val="left"/>
      <w:pPr>
        <w:ind w:left="425" w:hanging="425"/>
      </w:pPr>
      <w:rPr>
        <w:rFonts w:hint="default"/>
      </w:rPr>
    </w:lvl>
  </w:abstractNum>
  <w:abstractNum w:abstractNumId="6">
    <w:nsid w:val="0FF16FE7"/>
    <w:multiLevelType w:val="singleLevel"/>
    <w:tmpl w:val="0FF16FE7"/>
    <w:lvl w:ilvl="0" w:tentative="0">
      <w:start w:val="1"/>
      <w:numFmt w:val="decimal"/>
      <w:lvlText w:val="%1."/>
      <w:lvlJc w:val="left"/>
      <w:pPr>
        <w:ind w:left="425" w:hanging="425"/>
      </w:pPr>
      <w:rPr>
        <w:rFonts w:hint="default"/>
      </w:rPr>
    </w:lvl>
  </w:abstractNum>
  <w:abstractNum w:abstractNumId="7">
    <w:nsid w:val="1356DF08"/>
    <w:multiLevelType w:val="singleLevel"/>
    <w:tmpl w:val="1356DF08"/>
    <w:lvl w:ilvl="0" w:tentative="0">
      <w:start w:val="1"/>
      <w:numFmt w:val="decimal"/>
      <w:lvlText w:val="%1."/>
      <w:lvlJc w:val="left"/>
      <w:pPr>
        <w:ind w:left="425" w:hanging="425"/>
      </w:pPr>
      <w:rPr>
        <w:rFonts w:hint="default"/>
      </w:rPr>
    </w:lvl>
  </w:abstractNum>
  <w:abstractNum w:abstractNumId="8">
    <w:nsid w:val="63805618"/>
    <w:multiLevelType w:val="singleLevel"/>
    <w:tmpl w:val="63805618"/>
    <w:lvl w:ilvl="0" w:tentative="0">
      <w:start w:val="1"/>
      <w:numFmt w:val="decimal"/>
      <w:lvlText w:val="%1."/>
      <w:lvlJc w:val="left"/>
      <w:pPr>
        <w:ind w:left="425" w:hanging="425"/>
      </w:pPr>
      <w:rPr>
        <w:rFonts w:hint="default"/>
      </w:rPr>
    </w:lvl>
  </w:abstractNum>
  <w:abstractNum w:abstractNumId="9">
    <w:nsid w:val="6CFB6C05"/>
    <w:multiLevelType w:val="singleLevel"/>
    <w:tmpl w:val="6CFB6C05"/>
    <w:lvl w:ilvl="0" w:tentative="0">
      <w:start w:val="1"/>
      <w:numFmt w:val="decimal"/>
      <w:lvlText w:val="%1."/>
      <w:lvlJc w:val="left"/>
      <w:pPr>
        <w:ind w:left="425" w:hanging="425"/>
      </w:pPr>
      <w:rPr>
        <w:rFonts w:hint="default"/>
      </w:rPr>
    </w:lvl>
  </w:abstractNum>
  <w:num w:numId="1">
    <w:abstractNumId w:val="1"/>
  </w:num>
  <w:num w:numId="2">
    <w:abstractNumId w:val="7"/>
  </w:num>
  <w:num w:numId="3">
    <w:abstractNumId w:val="6"/>
  </w:num>
  <w:num w:numId="4">
    <w:abstractNumId w:val="9"/>
  </w:num>
  <w:num w:numId="5">
    <w:abstractNumId w:val="8"/>
  </w:num>
  <w:num w:numId="6">
    <w:abstractNumId w:val="5"/>
  </w:num>
  <w:num w:numId="7">
    <w:abstractNumId w:val="4"/>
  </w:num>
  <w:num w:numId="8">
    <w:abstractNumId w:val="2"/>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40E7C96"/>
    <w:rsid w:val="3A336096"/>
    <w:rsid w:val="501B6F55"/>
    <w:rsid w:val="5D7626BC"/>
    <w:rsid w:val="65F52F2E"/>
    <w:rsid w:val="6F5D1BD9"/>
    <w:rsid w:val="745322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2.emf"/><Relationship Id="rId13" Type="http://schemas.openxmlformats.org/officeDocument/2006/relationships/oleObject" Target="embeddings/oleObject1.bin"/><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2882</Words>
  <Characters>2993</Characters>
  <Lines>0</Lines>
  <Paragraphs>0</Paragraphs>
  <TotalTime>7</TotalTime>
  <ScaleCrop>false</ScaleCrop>
  <LinksUpToDate>false</LinksUpToDate>
  <CharactersWithSpaces>3043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2026-06-30T09:57:16Z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