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B4A5E1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474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79609F9E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2" w:name="_GoBack"/>
      <w:bookmarkStart w:id="1" w:name="_Toc29743"/>
      <w:r>
        <w:rPr>
          <w:rFonts w:hint="eastAsia"/>
          <w:lang w:val="en-US" w:eastAsia="zh-CN"/>
        </w:rPr>
        <w:t>中国广电重庆BOSS系统存储维保项目-过程量化指标</w:t>
      </w:r>
      <w:bookmarkEnd w:id="1"/>
    </w:p>
    <w:bookmarkEnd w:id="2"/>
    <w:p w14:paraId="199778F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文件编号：ZGS-06-12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D8C20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539C8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124B4B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2025.02.22</w:t>
            </w:r>
          </w:p>
        </w:tc>
      </w:tr>
      <w:tr w14:paraId="38A38A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EA58D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5B1BC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2025.02.22</w:t>
            </w:r>
          </w:p>
        </w:tc>
      </w:tr>
      <w:tr w14:paraId="127CFA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43B84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 w14:paraId="41C8DF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2025.02.22</w:t>
            </w:r>
          </w:p>
        </w:tc>
      </w:tr>
    </w:tbl>
    <w:p w14:paraId="7040936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6FCA52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76AAB0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431240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FB735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95D12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1053DD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D6E97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391303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22</w:t>
            </w:r>
          </w:p>
        </w:tc>
        <w:tc>
          <w:tcPr>
            <w:tcW w:w="919" w:type="dxa"/>
          </w:tcPr>
          <w:p w14:paraId="6D8D73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06E2C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7008C5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4AA0AE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E4DB1A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FF620D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5BF33F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1191D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97CD6A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22D747D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0D1849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7F3AF5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C3E7B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99D8B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1E878DD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C1804E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19B7F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2512DE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323192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99F2F8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88A477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_Toc4745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29CAF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中国广电重庆BOSS系统存储维保项目-过程量化指标</w:t>
          </w:r>
          <w:r>
            <w:tab/>
          </w:r>
          <w:r>
            <w:fldChar w:fldCharType="begin"/>
          </w:r>
          <w:r>
            <w:instrText xml:space="preserve"> PAGEREF _Toc29743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3E6BA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33F0D2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24D0436">
      <w:pPr>
        <w:pStyle w:val="29"/>
        <w:bidi w:val="0"/>
        <w:ind w:left="0" w:leftChars="0" w:right="0" w:rightChars="0" w:firstLine="0" w:firstLineChars="0"/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中国广电重庆BOSS系统存储维保项目-过程量化指标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2"/>
        <w:gridCol w:w="1142"/>
        <w:gridCol w:w="1698"/>
        <w:gridCol w:w="1420"/>
        <w:gridCol w:w="1420"/>
        <w:gridCol w:w="1421"/>
      </w:tblGrid>
      <w:tr w14:paraId="5EF8A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 w14:paraId="04DCD1B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编号</w:t>
            </w:r>
          </w:p>
        </w:tc>
        <w:tc>
          <w:tcPr>
            <w:tcW w:w="1142" w:type="dxa"/>
            <w:vAlign w:val="center"/>
          </w:tcPr>
          <w:p w14:paraId="0D8CAA5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指标类别</w:t>
            </w:r>
          </w:p>
        </w:tc>
        <w:tc>
          <w:tcPr>
            <w:tcW w:w="1698" w:type="dxa"/>
            <w:vAlign w:val="center"/>
          </w:tcPr>
          <w:p w14:paraId="0C73D9D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1420" w:type="dxa"/>
            <w:vAlign w:val="center"/>
          </w:tcPr>
          <w:p w14:paraId="293B361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指标</w:t>
            </w: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方式</w:t>
            </w:r>
          </w:p>
        </w:tc>
        <w:tc>
          <w:tcPr>
            <w:tcW w:w="1420" w:type="dxa"/>
            <w:vAlign w:val="center"/>
          </w:tcPr>
          <w:p w14:paraId="77E0249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频次</w:t>
            </w:r>
          </w:p>
        </w:tc>
        <w:tc>
          <w:tcPr>
            <w:tcW w:w="1421" w:type="dxa"/>
            <w:vAlign w:val="center"/>
          </w:tcPr>
          <w:p w14:paraId="2844B36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目标值</w:t>
            </w:r>
          </w:p>
        </w:tc>
      </w:tr>
      <w:tr w14:paraId="222A3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 w14:paraId="142C5F0B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 w14:paraId="50F7E10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过程框架设计</w:t>
            </w:r>
          </w:p>
        </w:tc>
        <w:tc>
          <w:tcPr>
            <w:tcW w:w="1698" w:type="dxa"/>
            <w:shd w:val="clear" w:color="auto" w:fill="auto"/>
          </w:tcPr>
          <w:p w14:paraId="2E6B471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自评估次数</w:t>
            </w:r>
          </w:p>
        </w:tc>
        <w:tc>
          <w:tcPr>
            <w:tcW w:w="1420" w:type="dxa"/>
            <w:shd w:val="clear" w:color="auto" w:fill="auto"/>
          </w:tcPr>
          <w:p w14:paraId="31CB9DA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数量，每年对过程框架进行分析的次数</w:t>
            </w:r>
          </w:p>
        </w:tc>
        <w:tc>
          <w:tcPr>
            <w:tcW w:w="1420" w:type="dxa"/>
            <w:shd w:val="clear" w:color="auto" w:fill="auto"/>
          </w:tcPr>
          <w:p w14:paraId="0290F7D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1421" w:type="dxa"/>
            <w:shd w:val="clear" w:color="auto" w:fill="auto"/>
          </w:tcPr>
          <w:p w14:paraId="737830B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</w:t>
            </w:r>
          </w:p>
        </w:tc>
      </w:tr>
      <w:tr w14:paraId="149B0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 w14:paraId="1DD219F5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 w14:paraId="519E9CC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服务级别管理</w:t>
            </w:r>
          </w:p>
        </w:tc>
        <w:tc>
          <w:tcPr>
            <w:tcW w:w="1698" w:type="dxa"/>
            <w:shd w:val="clear" w:color="auto" w:fill="auto"/>
          </w:tcPr>
          <w:p w14:paraId="6973350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SLA达成率</w:t>
            </w:r>
          </w:p>
        </w:tc>
        <w:tc>
          <w:tcPr>
            <w:tcW w:w="1420" w:type="dxa"/>
            <w:shd w:val="clear" w:color="auto" w:fill="auto"/>
          </w:tcPr>
          <w:p w14:paraId="66B9611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(满足服务级别的事件数/事件总数)*100%</w:t>
            </w:r>
          </w:p>
        </w:tc>
        <w:tc>
          <w:tcPr>
            <w:tcW w:w="1420" w:type="dxa"/>
            <w:shd w:val="clear" w:color="auto" w:fill="auto"/>
          </w:tcPr>
          <w:p w14:paraId="1B2994D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21" w:type="dxa"/>
            <w:shd w:val="clear" w:color="auto" w:fill="auto"/>
          </w:tcPr>
          <w:p w14:paraId="6779003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95%</w:t>
            </w:r>
          </w:p>
        </w:tc>
      </w:tr>
      <w:tr w14:paraId="5A9AF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 w14:paraId="621B8C77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 w14:paraId="43EBAFC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服务报告管理</w:t>
            </w:r>
          </w:p>
        </w:tc>
        <w:tc>
          <w:tcPr>
            <w:tcW w:w="1698" w:type="dxa"/>
            <w:shd w:val="clear" w:color="auto" w:fill="auto"/>
          </w:tcPr>
          <w:p w14:paraId="453BC41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服务报告提交及时率</w:t>
            </w:r>
          </w:p>
        </w:tc>
        <w:tc>
          <w:tcPr>
            <w:tcW w:w="1420" w:type="dxa"/>
            <w:shd w:val="clear" w:color="auto" w:fill="auto"/>
          </w:tcPr>
          <w:p w14:paraId="369A11A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按时提交的服务报告数量/应提交的服务报告总数)×100%</w:t>
            </w:r>
          </w:p>
        </w:tc>
        <w:tc>
          <w:tcPr>
            <w:tcW w:w="1420" w:type="dxa"/>
            <w:shd w:val="clear" w:color="auto" w:fill="auto"/>
          </w:tcPr>
          <w:p w14:paraId="17971AF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21" w:type="dxa"/>
            <w:shd w:val="clear" w:color="auto" w:fill="auto"/>
          </w:tcPr>
          <w:p w14:paraId="0AEA884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  <w:tr w14:paraId="0B710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Merge w:val="restart"/>
            <w:vAlign w:val="center"/>
          </w:tcPr>
          <w:p w14:paraId="22DDDAD9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Merge w:val="restart"/>
            <w:vAlign w:val="center"/>
          </w:tcPr>
          <w:p w14:paraId="32C32A2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事件管理</w:t>
            </w:r>
          </w:p>
        </w:tc>
        <w:tc>
          <w:tcPr>
            <w:tcW w:w="1698" w:type="dxa"/>
            <w:shd w:val="clear" w:color="auto" w:fill="auto"/>
          </w:tcPr>
          <w:p w14:paraId="1466262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事件响应及时率</w:t>
            </w:r>
          </w:p>
        </w:tc>
        <w:tc>
          <w:tcPr>
            <w:tcW w:w="1420" w:type="dxa"/>
            <w:shd w:val="clear" w:color="auto" w:fill="auto"/>
          </w:tcPr>
          <w:p w14:paraId="0262C3B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(规定时间内响应的事件数/事件总数)×100%</w:t>
            </w:r>
          </w:p>
        </w:tc>
        <w:tc>
          <w:tcPr>
            <w:tcW w:w="1420" w:type="dxa"/>
            <w:shd w:val="clear" w:color="auto" w:fill="auto"/>
          </w:tcPr>
          <w:p w14:paraId="175DC6B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1421" w:type="dxa"/>
            <w:shd w:val="clear" w:color="auto" w:fill="auto"/>
          </w:tcPr>
          <w:p w14:paraId="7130C2E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  <w:tr w14:paraId="33C95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Merge w:val="continue"/>
            <w:vAlign w:val="center"/>
          </w:tcPr>
          <w:p w14:paraId="0F869023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Merge w:val="continue"/>
            <w:vAlign w:val="center"/>
          </w:tcPr>
          <w:p w14:paraId="623F89C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698" w:type="dxa"/>
            <w:shd w:val="clear" w:color="auto" w:fill="auto"/>
          </w:tcPr>
          <w:p w14:paraId="143E9DD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事件按时解决率</w:t>
            </w:r>
          </w:p>
        </w:tc>
        <w:tc>
          <w:tcPr>
            <w:tcW w:w="1420" w:type="dxa"/>
            <w:shd w:val="clear" w:color="auto" w:fill="auto"/>
          </w:tcPr>
          <w:p w14:paraId="03C76F0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规定时间内成功解决的事件数/事件总数×100%</w:t>
            </w:r>
          </w:p>
        </w:tc>
        <w:tc>
          <w:tcPr>
            <w:tcW w:w="1420" w:type="dxa"/>
            <w:shd w:val="clear" w:color="auto" w:fill="auto"/>
          </w:tcPr>
          <w:p w14:paraId="08BBDFB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1421" w:type="dxa"/>
            <w:shd w:val="clear" w:color="auto" w:fill="auto"/>
          </w:tcPr>
          <w:p w14:paraId="458EE8B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</w:tr>
      <w:tr w14:paraId="29A62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 w14:paraId="33AF84ED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 w14:paraId="743F55B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问题管理</w:t>
            </w:r>
          </w:p>
        </w:tc>
        <w:tc>
          <w:tcPr>
            <w:tcW w:w="1698" w:type="dxa"/>
            <w:shd w:val="clear" w:color="auto" w:fill="auto"/>
          </w:tcPr>
          <w:p w14:paraId="55787E4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问题解决率</w:t>
            </w:r>
          </w:p>
        </w:tc>
        <w:tc>
          <w:tcPr>
            <w:tcW w:w="1420" w:type="dxa"/>
            <w:shd w:val="clear" w:color="auto" w:fill="auto"/>
          </w:tcPr>
          <w:p w14:paraId="77CB4FE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实际解决的问题数/问题总数×100 %</w:t>
            </w:r>
          </w:p>
        </w:tc>
        <w:tc>
          <w:tcPr>
            <w:tcW w:w="1420" w:type="dxa"/>
            <w:shd w:val="clear" w:color="auto" w:fill="auto"/>
          </w:tcPr>
          <w:p w14:paraId="456BE94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21" w:type="dxa"/>
            <w:shd w:val="clear" w:color="auto" w:fill="auto"/>
          </w:tcPr>
          <w:p w14:paraId="3D6E4EC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  <w:tr w14:paraId="6D869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 w14:paraId="15BA75A8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 w14:paraId="6670B79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变更管理</w:t>
            </w:r>
          </w:p>
        </w:tc>
        <w:tc>
          <w:tcPr>
            <w:tcW w:w="1698" w:type="dxa"/>
            <w:shd w:val="clear" w:color="auto" w:fill="auto"/>
          </w:tcPr>
          <w:p w14:paraId="13752B9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变更成功率</w:t>
            </w:r>
          </w:p>
        </w:tc>
        <w:tc>
          <w:tcPr>
            <w:tcW w:w="1420" w:type="dxa"/>
            <w:shd w:val="clear" w:color="auto" w:fill="auto"/>
          </w:tcPr>
          <w:p w14:paraId="0E4A0D5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(变次成功次数/变更总次数)×100%</w:t>
            </w:r>
          </w:p>
        </w:tc>
        <w:tc>
          <w:tcPr>
            <w:tcW w:w="1420" w:type="dxa"/>
            <w:shd w:val="clear" w:color="auto" w:fill="auto"/>
          </w:tcPr>
          <w:p w14:paraId="0FD647D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21" w:type="dxa"/>
            <w:shd w:val="clear" w:color="auto" w:fill="auto"/>
          </w:tcPr>
          <w:p w14:paraId="3EC56B9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  <w:tr w14:paraId="36994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 w14:paraId="155A75C4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 w14:paraId="6B8FCC4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发布管理</w:t>
            </w:r>
          </w:p>
        </w:tc>
        <w:tc>
          <w:tcPr>
            <w:tcW w:w="1698" w:type="dxa"/>
            <w:shd w:val="clear" w:color="auto" w:fill="auto"/>
          </w:tcPr>
          <w:p w14:paraId="5110D2E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发布成功率</w:t>
            </w:r>
          </w:p>
        </w:tc>
        <w:tc>
          <w:tcPr>
            <w:tcW w:w="1420" w:type="dxa"/>
            <w:shd w:val="clear" w:color="auto" w:fill="auto"/>
          </w:tcPr>
          <w:p w14:paraId="190BF50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(发布成功次数/发布总次数)×100%</w:t>
            </w:r>
          </w:p>
        </w:tc>
        <w:tc>
          <w:tcPr>
            <w:tcW w:w="1420" w:type="dxa"/>
            <w:shd w:val="clear" w:color="auto" w:fill="auto"/>
          </w:tcPr>
          <w:p w14:paraId="16AD93B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21" w:type="dxa"/>
            <w:shd w:val="clear" w:color="auto" w:fill="auto"/>
          </w:tcPr>
          <w:p w14:paraId="4E84034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  <w:tr w14:paraId="73FB0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 w14:paraId="194F311F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 w14:paraId="1010B12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配置管理</w:t>
            </w:r>
          </w:p>
        </w:tc>
        <w:tc>
          <w:tcPr>
            <w:tcW w:w="1698" w:type="dxa"/>
            <w:shd w:val="clear" w:color="auto" w:fill="auto"/>
          </w:tcPr>
          <w:p w14:paraId="54B3C20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配置准确率</w:t>
            </w:r>
          </w:p>
        </w:tc>
        <w:tc>
          <w:tcPr>
            <w:tcW w:w="1420" w:type="dxa"/>
            <w:shd w:val="clear" w:color="auto" w:fill="auto"/>
          </w:tcPr>
          <w:p w14:paraId="0DFB3BA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(准确配置次数</w:t>
            </w: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/</w:t>
            </w: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配置总次数)×100%</w:t>
            </w:r>
          </w:p>
        </w:tc>
        <w:tc>
          <w:tcPr>
            <w:tcW w:w="1420" w:type="dxa"/>
            <w:shd w:val="clear" w:color="auto" w:fill="auto"/>
          </w:tcPr>
          <w:p w14:paraId="61D46B7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21" w:type="dxa"/>
            <w:shd w:val="clear" w:color="auto" w:fill="auto"/>
          </w:tcPr>
          <w:p w14:paraId="5F2A08E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</w:tr>
      <w:tr w14:paraId="03AB9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Merge w:val="restart"/>
            <w:vAlign w:val="center"/>
          </w:tcPr>
          <w:p w14:paraId="47206CB0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Merge w:val="restart"/>
            <w:vAlign w:val="center"/>
          </w:tcPr>
          <w:p w14:paraId="54B0EC1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服务可用性和连续性管理</w:t>
            </w:r>
          </w:p>
        </w:tc>
        <w:tc>
          <w:tcPr>
            <w:tcW w:w="1698" w:type="dxa"/>
            <w:shd w:val="clear" w:color="auto" w:fill="auto"/>
          </w:tcPr>
          <w:p w14:paraId="4AF31AC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关键服务可用率</w:t>
            </w:r>
          </w:p>
        </w:tc>
        <w:tc>
          <w:tcPr>
            <w:tcW w:w="1420" w:type="dxa"/>
            <w:shd w:val="clear" w:color="auto" w:fill="auto"/>
          </w:tcPr>
          <w:p w14:paraId="0E40EAE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(服务约定运行时间 - 服务不可用时间)</w:t>
            </w: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/</w:t>
            </w: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服务约定运行时间×100%</w:t>
            </w:r>
          </w:p>
        </w:tc>
        <w:tc>
          <w:tcPr>
            <w:tcW w:w="1420" w:type="dxa"/>
            <w:shd w:val="clear" w:color="auto" w:fill="auto"/>
          </w:tcPr>
          <w:p w14:paraId="1AEC217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1421" w:type="dxa"/>
            <w:shd w:val="clear" w:color="auto" w:fill="auto"/>
          </w:tcPr>
          <w:p w14:paraId="7282DE9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</w:tr>
      <w:tr w14:paraId="21202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Merge w:val="continue"/>
            <w:vAlign w:val="center"/>
          </w:tcPr>
          <w:p w14:paraId="24BD96AE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Merge w:val="continue"/>
            <w:vAlign w:val="center"/>
          </w:tcPr>
          <w:p w14:paraId="1672DCB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698" w:type="dxa"/>
            <w:shd w:val="clear" w:color="auto" w:fill="auto"/>
          </w:tcPr>
          <w:p w14:paraId="39908D1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服务中断事件数量</w:t>
            </w:r>
          </w:p>
        </w:tc>
        <w:tc>
          <w:tcPr>
            <w:tcW w:w="1420" w:type="dxa"/>
            <w:shd w:val="clear" w:color="auto" w:fill="auto"/>
          </w:tcPr>
          <w:p w14:paraId="7C24F20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统计期内导致服务不可用的事件发生次数</w:t>
            </w:r>
          </w:p>
        </w:tc>
        <w:tc>
          <w:tcPr>
            <w:tcW w:w="1420" w:type="dxa"/>
            <w:shd w:val="clear" w:color="auto" w:fill="auto"/>
          </w:tcPr>
          <w:p w14:paraId="4E7E101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1421" w:type="dxa"/>
            <w:shd w:val="clear" w:color="auto" w:fill="auto"/>
          </w:tcPr>
          <w:p w14:paraId="39657BB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</w:tr>
      <w:tr w14:paraId="6AD72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 w14:paraId="15C5E306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 w14:paraId="7500DF0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容量管理</w:t>
            </w:r>
          </w:p>
        </w:tc>
        <w:tc>
          <w:tcPr>
            <w:tcW w:w="1698" w:type="dxa"/>
            <w:shd w:val="clear" w:color="auto" w:fill="auto"/>
          </w:tcPr>
          <w:p w14:paraId="5A82ED4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容量事件次数</w:t>
            </w:r>
          </w:p>
        </w:tc>
        <w:tc>
          <w:tcPr>
            <w:tcW w:w="1420" w:type="dxa"/>
            <w:shd w:val="clear" w:color="auto" w:fill="auto"/>
          </w:tcPr>
          <w:p w14:paraId="3F062FD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因容量不足导致的服务事件数量</w:t>
            </w:r>
          </w:p>
        </w:tc>
        <w:tc>
          <w:tcPr>
            <w:tcW w:w="1420" w:type="dxa"/>
            <w:shd w:val="clear" w:color="auto" w:fill="auto"/>
          </w:tcPr>
          <w:p w14:paraId="79E5E49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21" w:type="dxa"/>
            <w:shd w:val="clear" w:color="auto" w:fill="auto"/>
          </w:tcPr>
          <w:p w14:paraId="034A7EE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</w:tr>
      <w:tr w14:paraId="6C29A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 w14:paraId="2ECA9E27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 w14:paraId="191A325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信息安全管理</w:t>
            </w:r>
          </w:p>
        </w:tc>
        <w:tc>
          <w:tcPr>
            <w:tcW w:w="1698" w:type="dxa"/>
            <w:shd w:val="clear" w:color="auto" w:fill="auto"/>
          </w:tcPr>
          <w:p w14:paraId="7E96ACD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信息泄露次数</w:t>
            </w:r>
          </w:p>
        </w:tc>
        <w:tc>
          <w:tcPr>
            <w:tcW w:w="1420" w:type="dxa"/>
            <w:shd w:val="clear" w:color="auto" w:fill="auto"/>
          </w:tcPr>
          <w:p w14:paraId="4A26BD2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客户信息泄露的事件次数</w:t>
            </w:r>
          </w:p>
        </w:tc>
        <w:tc>
          <w:tcPr>
            <w:tcW w:w="1420" w:type="dxa"/>
            <w:shd w:val="clear" w:color="auto" w:fill="auto"/>
          </w:tcPr>
          <w:p w14:paraId="0DADEFA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1421" w:type="dxa"/>
            <w:shd w:val="clear" w:color="auto" w:fill="auto"/>
          </w:tcPr>
          <w:p w14:paraId="17D7317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≤2次</w:t>
            </w:r>
          </w:p>
        </w:tc>
      </w:tr>
    </w:tbl>
    <w:p w14:paraId="13005B96">
      <w:pPr>
        <w:pStyle w:val="29"/>
        <w:ind w:left="0" w:leftChars="0" w:right="0" w:rightChars="0" w:firstLine="0" w:firstLineChars="0"/>
        <w:jc w:val="both"/>
        <w:rPr>
          <w:rFonts w:hint="default"/>
          <w:vertAlign w:val="baseline"/>
          <w:lang w:val="en-US" w:eastAsia="zh-CN"/>
        </w:rPr>
      </w:pPr>
    </w:p>
    <w:sectPr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CDB0AE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954E40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939C11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B261D6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F03BFA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88A0E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75BF121"/>
    <w:multiLevelType w:val="singleLevel"/>
    <w:tmpl w:val="B75BF12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300CC3"/>
    <w:rsid w:val="3B844B5E"/>
    <w:rsid w:val="494E154E"/>
    <w:rsid w:val="67A91325"/>
    <w:rsid w:val="71591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609</Words>
  <Characters>718</Characters>
  <Lines>0</Lines>
  <Paragraphs>0</Paragraphs>
  <TotalTime>0</TotalTime>
  <ScaleCrop>false</ScaleCrop>
  <LinksUpToDate>false</LinksUpToDate>
  <CharactersWithSpaces>723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2026-07-01T09:04:33Z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