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3C58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0067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36B8009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4218"/>
      <w:r>
        <w:rPr>
          <w:rFonts w:hint="eastAsia"/>
          <w:lang w:val="en-US" w:eastAsia="zh-CN"/>
        </w:rPr>
        <w:t>中国广电重庆BOSS系统存储维保项目-信息安全管理报告</w:t>
      </w:r>
      <w:bookmarkEnd w:id="1"/>
    </w:p>
    <w:p w14:paraId="1E73AB0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文件编号：ZGS-06-15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4064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E0A84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EB345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7031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C1D2A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24612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57A3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C4BB2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</w:p>
        </w:tc>
        <w:tc>
          <w:tcPr>
            <w:tcW w:w="2708" w:type="dxa"/>
          </w:tcPr>
          <w:p w14:paraId="33D0B0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675BD0D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E13B95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A36C9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010D6C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40219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AEFC1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4FF35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2BA96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6D2D1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277CC4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957B9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DAEFB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68FE4D0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8D31E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95EEC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2F424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6ADB26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65530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89941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324E2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FA639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67A16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E855A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C65C92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3AD42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A0B22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A77F2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727E43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4DB0FC2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FF9B0D3">
          <w:pPr>
            <w:pStyle w:val="16"/>
            <w:tabs>
              <w:tab w:val="right" w:leader="dot" w:pos="8306"/>
            </w:tabs>
          </w:pPr>
          <w:bookmarkStart w:id="9" w:name="_GoBack"/>
          <w:bookmarkEnd w:id="9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_Toc10067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_Toc10067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E026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中国广电重庆BOSS系统存储维保项目-信息安全管理报告</w:t>
          </w:r>
          <w:r>
            <w:tab/>
          </w:r>
          <w:r>
            <w:fldChar w:fldCharType="begin"/>
          </w:r>
          <w:r>
            <w:instrText xml:space="preserve"> PAGEREF _Toc24218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0498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执行情况概述</w:t>
          </w:r>
          <w:r>
            <w:tab/>
          </w:r>
          <w:r>
            <w:fldChar w:fldCharType="begin"/>
          </w:r>
          <w:r>
            <w:instrText xml:space="preserve"> PAGEREF _Toc7043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4F80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主要安全管理活动完成情况</w:t>
          </w:r>
          <w:r>
            <w:tab/>
          </w:r>
          <w:r>
            <w:fldChar w:fldCharType="begin"/>
          </w:r>
          <w:r>
            <w:instrText xml:space="preserve"> PAGEREF _Toc20155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E070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安全事件统计与分析</w:t>
          </w:r>
          <w:r>
            <w:tab/>
          </w:r>
          <w:r>
            <w:fldChar w:fldCharType="begin"/>
          </w:r>
          <w:r>
            <w:instrText xml:space="preserve"> PAGEREF _Toc169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9360C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合规性与审计发现</w:t>
          </w:r>
          <w:r>
            <w:tab/>
          </w:r>
          <w:r>
            <w:fldChar w:fldCharType="begin"/>
          </w:r>
          <w:r>
            <w:instrText xml:space="preserve"> PAGEREF _Toc11215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87347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资源投入与合同符合性</w:t>
          </w:r>
          <w:r>
            <w:tab/>
          </w:r>
          <w:r>
            <w:fldChar w:fldCharType="begin"/>
          </w:r>
          <w:r>
            <w:instrText xml:space="preserve"> PAGEREF _Toc15484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784E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_Toc5450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主要问题、风险与改进计划</w:t>
          </w:r>
          <w:r>
            <w:tab/>
          </w:r>
          <w:r>
            <w:fldChar w:fldCharType="begin"/>
          </w:r>
          <w:r>
            <w:instrText xml:space="preserve"> PAGEREF _Toc5450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9F3D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结论与建议</w:t>
          </w:r>
          <w:r>
            <w:tab/>
          </w:r>
          <w:r>
            <w:fldChar w:fldCharType="begin"/>
          </w:r>
          <w:r>
            <w:instrText xml:space="preserve"> PAGEREF _Toc26321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20591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D33C23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47074F6">
      <w:pPr>
        <w:pStyle w:val="28"/>
        <w:bidi w:val="0"/>
        <w:rPr>
          <w:rFonts w:hint="default"/>
          <w:lang w:val="en-US" w:eastAsia="zh-CN"/>
        </w:rPr>
      </w:pPr>
      <w:bookmarkStart w:id="2" w:name="_Toc7043"/>
      <w:r>
        <w:rPr>
          <w:rFonts w:hint="default"/>
          <w:lang w:val="en-US" w:eastAsia="zh-CN"/>
        </w:rPr>
        <w:t>执行情况概述</w:t>
      </w:r>
      <w:bookmarkEnd w:id="2"/>
    </w:p>
    <w:p w14:paraId="09F5AC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《信息安全管理计划》发布以来，公司信息安全领导小组及项目实施团队围绕计划目标，系统性地开展了一系列管理活动与技术控制措施。本报告期内，项目整体信息安全状况平稳可控，未发生重大信息泄露、系统瘫痪等安全事件，各项安全控制措施得到基本落实，基本满足了合同SLA及法律法规的合规性要求。本报告旨在系统梳理期内工作成果，分析存在问题，并规划下一阶段改进方向。</w:t>
      </w:r>
    </w:p>
    <w:p w14:paraId="1F8D4AD5">
      <w:pPr>
        <w:pStyle w:val="28"/>
        <w:bidi w:val="0"/>
        <w:rPr>
          <w:rFonts w:hint="default"/>
          <w:lang w:val="en-US" w:eastAsia="zh-CN"/>
        </w:rPr>
      </w:pPr>
      <w:bookmarkStart w:id="3" w:name="_Toc20155"/>
      <w:r>
        <w:rPr>
          <w:rFonts w:hint="default"/>
          <w:lang w:val="en-US" w:eastAsia="zh-CN"/>
        </w:rPr>
        <w:t>主要安全管理活动完成情况</w:t>
      </w:r>
      <w:bookmarkEnd w:id="3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942"/>
        <w:gridCol w:w="4731"/>
        <w:gridCol w:w="620"/>
      </w:tblGrid>
      <w:tr w14:paraId="57BD2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DA9A2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管理领域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9A227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822890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执行情况总结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DCDD4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36946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A5C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1.组织与培训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3AC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成立领导小组；</w:t>
            </w:r>
          </w:p>
          <w:p w14:paraId="01531E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全员安全培训与签署保密协议。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21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领导小组已成立并召开季度安全会议1次。项目团队（共9人）100%完成年度信息安全意识培训并签署保密协议。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BBD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5A4F5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6CC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2.系统与运维安全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7BE9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定期漏洞扫描与修复；强化访问控制；落实安全监控与日志审计。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8887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共进行4次月度漏洞扫描，发现中危漏洞2个，均已修复。核心后台管理账户已启用双因素认证。SIEM系统运行正常，产生有效告警15条，均已人工核查处置。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4E534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E197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840F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3.数据安全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DC54F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敏感数据加密；</w:t>
            </w:r>
          </w:p>
          <w:p w14:paraId="0D2C76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定期备份与恢复测试。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02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数据库敏感字段已实施加密存储。按计划完成4次全量备份与12次增量备份，并于11月成功进行一次恢复演练。测试环境数据已完全脱敏。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474F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072E0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6BF2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4.应急响应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ACF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建立流程，定期演练。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839F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更新了《项目专项应急预案》。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月份组织了一次针对“疑似数据泄露”的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，响应流程顺畅，演练报告已归档。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528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  <w:tr w14:paraId="495B7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0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9017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5.合规与审计</w:t>
            </w:r>
          </w:p>
        </w:tc>
        <w:tc>
          <w:tcPr>
            <w:tcW w:w="194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80C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进行合规检查与内部审计。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024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于9月完成一次针对《个人信息保护法》合规性的专项检查，未发现高风险不合规项。11月由质量部完成信息安全内部审计，共发现3项观察项，已制定整改计划。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4DDA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</w:t>
            </w:r>
          </w:p>
        </w:tc>
      </w:tr>
    </w:tbl>
    <w:p w14:paraId="2072315B">
      <w:pPr>
        <w:pStyle w:val="28"/>
        <w:bidi w:val="0"/>
        <w:rPr>
          <w:rFonts w:hint="default"/>
          <w:lang w:val="en-US" w:eastAsia="zh-CN"/>
        </w:rPr>
      </w:pPr>
      <w:bookmarkStart w:id="4" w:name="_Toc169"/>
      <w:r>
        <w:rPr>
          <w:rFonts w:hint="default"/>
          <w:lang w:val="en-US" w:eastAsia="zh-CN"/>
        </w:rPr>
        <w:t>安全事件统计与分析</w:t>
      </w:r>
      <w:bookmarkEnd w:id="4"/>
    </w:p>
    <w:p w14:paraId="295381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事件总数：本报告期内，共记录与信息安全相关的低风险事件8起。</w:t>
      </w:r>
    </w:p>
    <w:p w14:paraId="63FFF94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事件分类：</w:t>
      </w:r>
    </w:p>
    <w:p w14:paraId="662030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暴力破解攻击告警：5起（均由网络防护设备自动拦截）。</w:t>
      </w:r>
    </w:p>
    <w:p w14:paraId="21CECA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异常登录尝试（异地/非常用设备）：2起（经核实为授权员工正常登录）。</w:t>
      </w:r>
    </w:p>
    <w:p w14:paraId="3B009C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误操作导致数据查询错误：1起（经服务台及时纠正，未造成数据泄露或损失）。</w:t>
      </w:r>
    </w:p>
    <w:p w14:paraId="4514CA4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事件处理：所有事件均在2小时内完成初步响应与判断，未有任何事件升级为需要通知甲方的重大安全事件。事件平均解决时间为4小时，优于合同约定的48小时故障排除目标。</w:t>
      </w:r>
    </w:p>
    <w:p w14:paraId="51F5D0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根本原因分析（RCA）：针对典型的攻击告警，进行了源头IP分析和威胁情报比对，未发现针对性的高级持续威胁（APT）。</w:t>
      </w:r>
    </w:p>
    <w:p w14:paraId="4BFCC39A">
      <w:pPr>
        <w:pStyle w:val="28"/>
        <w:bidi w:val="0"/>
        <w:rPr>
          <w:rFonts w:hint="default"/>
          <w:lang w:val="en-US" w:eastAsia="zh-CN"/>
        </w:rPr>
      </w:pPr>
      <w:bookmarkStart w:id="5" w:name="_Toc11215"/>
      <w:r>
        <w:rPr>
          <w:rFonts w:hint="default"/>
          <w:lang w:val="en-US" w:eastAsia="zh-CN"/>
        </w:rPr>
        <w:t>合规性与审计发现</w:t>
      </w:r>
      <w:bookmarkEnd w:id="5"/>
    </w:p>
    <w:p w14:paraId="3F4B8DC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合规性检查：专项检查确认，系统在个人信息收集、存储、使用环节均有明确告知并获得授权，基本符合《个人信息保护法》要求。在数据跨境传输方面，本项目不涉及。</w:t>
      </w:r>
    </w:p>
    <w:p w14:paraId="1CD0D4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内部审计发现：</w:t>
      </w:r>
    </w:p>
    <w:p w14:paraId="704243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观察项1：部分运维操作日志记录字段不够完整，影响深度溯源。</w:t>
      </w:r>
    </w:p>
    <w:p w14:paraId="5CABC8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观察项2：个别第三方组件（开源库）版本略旧，存在潜在低危漏洞。</w:t>
      </w:r>
    </w:p>
    <w:p w14:paraId="56EC7C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观察项3：安全培训内容可针对最新社会工程学攻击案例进行更新。</w:t>
      </w:r>
    </w:p>
    <w:p w14:paraId="0CFC1C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整改状态：以上观察项已制定整改计划，责任人均为运维部与人力部，计划在2026年Q1前完成。</w:t>
      </w:r>
    </w:p>
    <w:p w14:paraId="182B4A58">
      <w:pPr>
        <w:pStyle w:val="28"/>
        <w:bidi w:val="0"/>
        <w:rPr>
          <w:rFonts w:hint="default"/>
          <w:lang w:val="en-US" w:eastAsia="zh-CN"/>
        </w:rPr>
      </w:pPr>
      <w:bookmarkStart w:id="6" w:name="_Toc15484"/>
      <w:r>
        <w:rPr>
          <w:rFonts w:hint="default"/>
          <w:lang w:val="en-US" w:eastAsia="zh-CN"/>
        </w:rPr>
        <w:t>资源投入与合同符合性</w:t>
      </w:r>
      <w:bookmarkEnd w:id="6"/>
    </w:p>
    <w:p w14:paraId="3335F0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团队稳定性：本期项目团队核心成员无变更，符合合同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“人员稳定性要求”。</w:t>
      </w:r>
    </w:p>
    <w:p w14:paraId="4DC61C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服务交付：7x24小时服务台与运维支持体系运行正常，所有服务请求均得到及时响应，SLA达成率为100%，满足合同基本服务要求。</w:t>
      </w:r>
    </w:p>
    <w:p w14:paraId="644F0D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信创适配：根据合同</w:t>
      </w:r>
      <w:r>
        <w:rPr>
          <w:rFonts w:hint="eastAsia"/>
          <w:lang w:val="en-US" w:eastAsia="zh-CN"/>
        </w:rPr>
        <w:t>条款</w:t>
      </w:r>
      <w:r>
        <w:rPr>
          <w:rFonts w:hint="default"/>
          <w:lang w:val="en-US" w:eastAsia="zh-CN"/>
        </w:rPr>
        <w:t>，本期甲方未提出新的国产化适配要求。我方已保持对主流信创生态的技术跟踪与预研。</w:t>
      </w:r>
    </w:p>
    <w:p w14:paraId="76CFBEC5">
      <w:pPr>
        <w:pStyle w:val="28"/>
        <w:bidi w:val="0"/>
        <w:rPr>
          <w:rFonts w:hint="default"/>
          <w:lang w:val="en-US" w:eastAsia="zh-CN"/>
        </w:rPr>
      </w:pPr>
      <w:bookmarkStart w:id="7" w:name="_Toc5450"/>
      <w:r>
        <w:rPr>
          <w:rFonts w:hint="default"/>
          <w:lang w:val="en-US" w:eastAsia="zh-CN"/>
        </w:rPr>
        <w:t>主要问题、风险与改进计划</w:t>
      </w:r>
      <w:bookmarkEnd w:id="7"/>
    </w:p>
    <w:p w14:paraId="47B7C6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1423"/>
        <w:gridCol w:w="1848"/>
        <w:gridCol w:w="2954"/>
        <w:gridCol w:w="748"/>
        <w:gridCol w:w="885"/>
      </w:tblGrid>
      <w:tr w14:paraId="1588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A81F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BBE9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问题/风险描述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66E2D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影响分析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1E9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改进措施/下一步计划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DACD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3B8D7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预计完成时间</w:t>
            </w:r>
          </w:p>
        </w:tc>
      </w:tr>
      <w:tr w14:paraId="38B64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F2AF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F68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安全日志深度分析能力不足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1FD2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难以主动发现隐蔽的威胁和内部风险。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06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调研并引入日志智能分析（UEBA）功能模块。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401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310B8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2026年Q2</w:t>
            </w:r>
          </w:p>
        </w:tc>
      </w:tr>
      <w:tr w14:paraId="5B7C3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716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3AB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第三方组件供应链安全管理待加强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8DFD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旧版本组件可能引入未知漏洞。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91D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建立软件物料清单（SBOM），制定第三方组件定期更新与评估流程。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ED6F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9100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2026年Q1</w:t>
            </w:r>
          </w:p>
        </w:tc>
      </w:tr>
      <w:tr w14:paraId="11539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FD798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5683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安全意识培训内容需与时俱进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35E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员工对新型钓鱼、欺诈手段防范意识待提升。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1F1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更新2026年度安全培训材料，增加实战化演练内容。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1FF7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ADEA5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2026年Q1</w:t>
            </w:r>
          </w:p>
        </w:tc>
      </w:tr>
    </w:tbl>
    <w:p w14:paraId="4AB720C6">
      <w:pPr>
        <w:pStyle w:val="28"/>
        <w:bidi w:val="0"/>
        <w:rPr>
          <w:rFonts w:hint="default"/>
          <w:lang w:val="en-US" w:eastAsia="zh-CN"/>
        </w:rPr>
      </w:pPr>
      <w:bookmarkStart w:id="8" w:name="_Toc26321"/>
      <w:r>
        <w:rPr>
          <w:rFonts w:hint="default"/>
          <w:lang w:val="en-US" w:eastAsia="zh-CN"/>
        </w:rPr>
        <w:t>结论与建议</w:t>
      </w:r>
      <w:bookmarkEnd w:id="8"/>
    </w:p>
    <w:p w14:paraId="6A1EAD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截至2025年12月30日，“中国广电重庆BOSS系统存储维保项目”的信息安全管理体系运行有效，关键控制措施落实到位，保障了系统与数据的保密性、完整性和可用性，并满足了当前阶段的合规要求。</w:t>
      </w:r>
    </w:p>
    <w:p w14:paraId="5BF8DB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建议：</w:t>
      </w:r>
    </w:p>
    <w:p w14:paraId="1F68DF4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管理层继续支持在安全技术工具（如日志分析）上的必要投入。</w:t>
      </w:r>
    </w:p>
    <w:p w14:paraId="17BD20F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将第三方组件安全管理和安全意识常态化演练纳入2026年度信息安全重点工作。</w:t>
      </w:r>
    </w:p>
    <w:p w14:paraId="31187C4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本报告应提交甲方备案，作为项目服务质量与安全承诺的履行证明之一。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1C006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5860F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3B51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2D61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E29A6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EB0A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7C2EAB1"/>
    <w:multiLevelType w:val="singleLevel"/>
    <w:tmpl w:val="77C2EAB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255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506</Words>
  <Characters>576</Characters>
  <Lines>0</Lines>
  <Paragraphs>0</Paragraphs>
  <TotalTime>0</TotalTime>
  <ScaleCrop>false</ScaleCrop>
  <LinksUpToDate>false</LinksUpToDate>
  <CharactersWithSpaces>610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2026-07-01T09:06:33Z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