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CA54A1">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0668"/>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13">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545A7D28">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10767"/>
      <w:r>
        <w:rPr>
          <w:rFonts w:hint="eastAsia"/>
          <w:lang w:val="en-US" w:eastAsia="zh-CN"/>
        </w:rPr>
        <w:t>中国广电重庆BOSS系统存储维保项目-可用性和连续性管理报告</w:t>
      </w:r>
      <w:bookmarkEnd w:id="1"/>
    </w:p>
    <w:p w14:paraId="538CD463">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文件编号：ZGS-06-17</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F0037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084FC6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编制部门:人力部</w:t>
            </w:r>
          </w:p>
        </w:tc>
        <w:tc>
          <w:tcPr>
            <w:tcW w:w="2708" w:type="dxa"/>
          </w:tcPr>
          <w:p w14:paraId="10CC867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62F86B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F2E715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6CAE895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24F8E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7601C24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14:paraId="46162A6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bl>
    <w:p w14:paraId="1BD5B85A">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15A24020">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36F8877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5481710A">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3328547F">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12954D4A">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4C0C7FA3">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B655F0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33D962E6">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2</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30</w:t>
            </w:r>
          </w:p>
        </w:tc>
        <w:tc>
          <w:tcPr>
            <w:tcW w:w="919" w:type="dxa"/>
          </w:tcPr>
          <w:p w14:paraId="5362F751">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2236E6F">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7D5397E8">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宋海滨</w:t>
            </w:r>
          </w:p>
        </w:tc>
      </w:tr>
      <w:tr w14:paraId="0EBCE00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77DDA19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5B26276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0CA9EB8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5AE4A76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468F1DE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74FCB22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3EFF1B2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4D3C478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7C82CB5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244C50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4B418A0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9" w:type="dxa"/>
          </w:tcPr>
          <w:p w14:paraId="3A3F829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2289" w:type="dxa"/>
          </w:tcPr>
          <w:p w14:paraId="3161BA6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240" w:type="dxa"/>
          </w:tcPr>
          <w:p w14:paraId="4D84A36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0FC91041">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A87CC6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8C58523">
          <w:pPr>
            <w:pStyle w:val="16"/>
            <w:tabs>
              <w:tab w:val="right" w:leader="dot" w:pos="8306"/>
            </w:tabs>
          </w:pPr>
          <w:bookmarkStart w:id="12" w:name="_GoBack"/>
          <w:bookmarkEnd w:id="12"/>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_Toc10668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_Toc10668 \h </w:instrText>
          </w:r>
          <w:r>
            <w:fldChar w:fldCharType="separate"/>
          </w:r>
          <w:r>
            <w:t>1</w:t>
          </w:r>
          <w:r>
            <w:fldChar w:fldCharType="end"/>
          </w:r>
          <w:r>
            <w:rPr>
              <w:rFonts w:hint="eastAsia" w:ascii="宋体" w:hAnsi="宋体" w:eastAsia="宋体" w:cs="宋体"/>
              <w:szCs w:val="24"/>
            </w:rPr>
            <w:fldChar w:fldCharType="end"/>
          </w:r>
        </w:p>
        <w:p w14:paraId="790F8E8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_Toc10767 </w:instrText>
          </w:r>
          <w:r>
            <w:rPr>
              <w:rFonts w:hint="eastAsia" w:ascii="宋体" w:hAnsi="宋体" w:eastAsia="宋体" w:cs="宋体"/>
              <w:szCs w:val="24"/>
            </w:rPr>
            <w:fldChar w:fldCharType="separate"/>
          </w:r>
          <w:r>
            <w:rPr>
              <w:rFonts w:hint="eastAsia"/>
              <w:lang w:val="en-US" w:eastAsia="zh-CN"/>
            </w:rPr>
            <w:t>中国广电重庆BOSS系统存储维保项目-可用性和连续性管理报告</w:t>
          </w:r>
          <w:r>
            <w:tab/>
          </w:r>
          <w:r>
            <w:fldChar w:fldCharType="begin"/>
          </w:r>
          <w:r>
            <w:instrText xml:space="preserve"> PAGEREF _Toc10767 \h </w:instrText>
          </w:r>
          <w:r>
            <w:fldChar w:fldCharType="separate"/>
          </w:r>
          <w:r>
            <w:t>1</w:t>
          </w:r>
          <w:r>
            <w:fldChar w:fldCharType="end"/>
          </w:r>
          <w:r>
            <w:rPr>
              <w:rFonts w:hint="eastAsia" w:ascii="宋体" w:hAnsi="宋体" w:eastAsia="宋体" w:cs="宋体"/>
              <w:szCs w:val="24"/>
            </w:rPr>
            <w:fldChar w:fldCharType="end"/>
          </w:r>
        </w:p>
        <w:p w14:paraId="203E1FA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_Toc84 </w:instrText>
          </w:r>
          <w:r>
            <w:rPr>
              <w:rFonts w:hint="eastAsia" w:ascii="宋体" w:hAnsi="宋体" w:eastAsia="宋体" w:cs="宋体"/>
              <w:szCs w:val="24"/>
            </w:rPr>
            <w:fldChar w:fldCharType="separate"/>
          </w:r>
          <w:r>
            <w:rPr>
              <w:rFonts w:hint="default"/>
              <w:lang w:val="en-US" w:eastAsia="zh-CN"/>
            </w:rPr>
            <w:t>1. 管理概况</w:t>
          </w:r>
          <w:r>
            <w:tab/>
          </w:r>
          <w:r>
            <w:fldChar w:fldCharType="begin"/>
          </w:r>
          <w:r>
            <w:instrText xml:space="preserve"> PAGEREF _Toc84 \h </w:instrText>
          </w:r>
          <w:r>
            <w:fldChar w:fldCharType="separate"/>
          </w:r>
          <w:r>
            <w:t>4</w:t>
          </w:r>
          <w:r>
            <w:fldChar w:fldCharType="end"/>
          </w:r>
          <w:r>
            <w:rPr>
              <w:rFonts w:hint="eastAsia" w:ascii="宋体" w:hAnsi="宋体" w:eastAsia="宋体" w:cs="宋体"/>
              <w:szCs w:val="24"/>
            </w:rPr>
            <w:fldChar w:fldCharType="end"/>
          </w:r>
        </w:p>
        <w:p w14:paraId="0CD0C94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_Toc20136 </w:instrText>
          </w:r>
          <w:r>
            <w:rPr>
              <w:rFonts w:hint="eastAsia" w:ascii="宋体" w:hAnsi="宋体" w:eastAsia="宋体" w:cs="宋体"/>
              <w:szCs w:val="24"/>
            </w:rPr>
            <w:fldChar w:fldCharType="separate"/>
          </w:r>
          <w:r>
            <w:rPr>
              <w:rFonts w:hint="default"/>
              <w:lang w:val="en-US" w:eastAsia="zh-CN"/>
            </w:rPr>
            <w:t>2. 管理目标达成情况</w:t>
          </w:r>
          <w:r>
            <w:tab/>
          </w:r>
          <w:r>
            <w:fldChar w:fldCharType="begin"/>
          </w:r>
          <w:r>
            <w:instrText xml:space="preserve"> PAGEREF _Toc20136 \h </w:instrText>
          </w:r>
          <w:r>
            <w:fldChar w:fldCharType="separate"/>
          </w:r>
          <w:r>
            <w:t>4</w:t>
          </w:r>
          <w:r>
            <w:fldChar w:fldCharType="end"/>
          </w:r>
          <w:r>
            <w:rPr>
              <w:rFonts w:hint="eastAsia" w:ascii="宋体" w:hAnsi="宋体" w:eastAsia="宋体" w:cs="宋体"/>
              <w:szCs w:val="24"/>
            </w:rPr>
            <w:fldChar w:fldCharType="end"/>
          </w:r>
        </w:p>
        <w:p w14:paraId="2B3A8B3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_Toc10739 </w:instrText>
          </w:r>
          <w:r>
            <w:rPr>
              <w:rFonts w:hint="eastAsia" w:ascii="宋体" w:hAnsi="宋体" w:eastAsia="宋体" w:cs="宋体"/>
              <w:szCs w:val="24"/>
            </w:rPr>
            <w:fldChar w:fldCharType="separate"/>
          </w:r>
          <w:r>
            <w:rPr>
              <w:rFonts w:hint="default"/>
              <w:lang w:val="en-US" w:eastAsia="zh-CN"/>
            </w:rPr>
            <w:t>3. 关键管理活动总结</w:t>
          </w:r>
          <w:r>
            <w:tab/>
          </w:r>
          <w:r>
            <w:fldChar w:fldCharType="begin"/>
          </w:r>
          <w:r>
            <w:instrText xml:space="preserve"> PAGEREF _Toc10739 \h </w:instrText>
          </w:r>
          <w:r>
            <w:fldChar w:fldCharType="separate"/>
          </w:r>
          <w:r>
            <w:t>4</w:t>
          </w:r>
          <w:r>
            <w:fldChar w:fldCharType="end"/>
          </w:r>
          <w:r>
            <w:rPr>
              <w:rFonts w:hint="eastAsia" w:ascii="宋体" w:hAnsi="宋体" w:eastAsia="宋体" w:cs="宋体"/>
              <w:szCs w:val="24"/>
            </w:rPr>
            <w:fldChar w:fldCharType="end"/>
          </w:r>
        </w:p>
        <w:p w14:paraId="0974EBB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_Toc22572 </w:instrText>
          </w:r>
          <w:r>
            <w:rPr>
              <w:rFonts w:hint="eastAsia" w:ascii="宋体" w:hAnsi="宋体" w:eastAsia="宋体" w:cs="宋体"/>
              <w:szCs w:val="24"/>
            </w:rPr>
            <w:fldChar w:fldCharType="separate"/>
          </w:r>
          <w:r>
            <w:rPr>
              <w:rFonts w:hint="default"/>
              <w:lang w:val="en-US" w:eastAsia="zh-CN"/>
            </w:rPr>
            <w:t>3.1. 日常监控与预防性维护</w:t>
          </w:r>
          <w:r>
            <w:tab/>
          </w:r>
          <w:r>
            <w:fldChar w:fldCharType="begin"/>
          </w:r>
          <w:r>
            <w:instrText xml:space="preserve"> PAGEREF _Toc22572 \h </w:instrText>
          </w:r>
          <w:r>
            <w:fldChar w:fldCharType="separate"/>
          </w:r>
          <w:r>
            <w:t>4</w:t>
          </w:r>
          <w:r>
            <w:fldChar w:fldCharType="end"/>
          </w:r>
          <w:r>
            <w:rPr>
              <w:rFonts w:hint="eastAsia" w:ascii="宋体" w:hAnsi="宋体" w:eastAsia="宋体" w:cs="宋体"/>
              <w:szCs w:val="24"/>
            </w:rPr>
            <w:fldChar w:fldCharType="end"/>
          </w:r>
        </w:p>
        <w:p w14:paraId="5039517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_Toc5223 </w:instrText>
          </w:r>
          <w:r>
            <w:rPr>
              <w:rFonts w:hint="eastAsia" w:ascii="宋体" w:hAnsi="宋体" w:eastAsia="宋体" w:cs="宋体"/>
              <w:szCs w:val="24"/>
            </w:rPr>
            <w:fldChar w:fldCharType="separate"/>
          </w:r>
          <w:r>
            <w:rPr>
              <w:rFonts w:hint="default"/>
              <w:lang w:val="en-US" w:eastAsia="zh-CN"/>
            </w:rPr>
            <w:t>3.2. 事件与应急响应</w:t>
          </w:r>
          <w:r>
            <w:tab/>
          </w:r>
          <w:r>
            <w:fldChar w:fldCharType="begin"/>
          </w:r>
          <w:r>
            <w:instrText xml:space="preserve"> PAGEREF _Toc5223 \h </w:instrText>
          </w:r>
          <w:r>
            <w:fldChar w:fldCharType="separate"/>
          </w:r>
          <w:r>
            <w:t>5</w:t>
          </w:r>
          <w:r>
            <w:fldChar w:fldCharType="end"/>
          </w:r>
          <w:r>
            <w:rPr>
              <w:rFonts w:hint="eastAsia" w:ascii="宋体" w:hAnsi="宋体" w:eastAsia="宋体" w:cs="宋体"/>
              <w:szCs w:val="24"/>
            </w:rPr>
            <w:fldChar w:fldCharType="end"/>
          </w:r>
        </w:p>
        <w:p w14:paraId="405F8E6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_Toc13678 </w:instrText>
          </w:r>
          <w:r>
            <w:rPr>
              <w:rFonts w:hint="eastAsia" w:ascii="宋体" w:hAnsi="宋体" w:eastAsia="宋体" w:cs="宋体"/>
              <w:szCs w:val="24"/>
            </w:rPr>
            <w:fldChar w:fldCharType="separate"/>
          </w:r>
          <w:r>
            <w:rPr>
              <w:rFonts w:hint="default"/>
              <w:lang w:val="en-US" w:eastAsia="zh-CN"/>
            </w:rPr>
            <w:t>3.3. 业务连续性演练与测试</w:t>
          </w:r>
          <w:r>
            <w:tab/>
          </w:r>
          <w:r>
            <w:fldChar w:fldCharType="begin"/>
          </w:r>
          <w:r>
            <w:instrText xml:space="preserve"> PAGEREF _Toc13678 \h </w:instrText>
          </w:r>
          <w:r>
            <w:fldChar w:fldCharType="separate"/>
          </w:r>
          <w:r>
            <w:t>5</w:t>
          </w:r>
          <w:r>
            <w:fldChar w:fldCharType="end"/>
          </w:r>
          <w:r>
            <w:rPr>
              <w:rFonts w:hint="eastAsia" w:ascii="宋体" w:hAnsi="宋体" w:eastAsia="宋体" w:cs="宋体"/>
              <w:szCs w:val="24"/>
            </w:rPr>
            <w:fldChar w:fldCharType="end"/>
          </w:r>
        </w:p>
        <w:p w14:paraId="23492C3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_Toc4577 </w:instrText>
          </w:r>
          <w:r>
            <w:rPr>
              <w:rFonts w:hint="eastAsia" w:ascii="宋体" w:hAnsi="宋体" w:eastAsia="宋体" w:cs="宋体"/>
              <w:szCs w:val="24"/>
            </w:rPr>
            <w:fldChar w:fldCharType="separate"/>
          </w:r>
          <w:r>
            <w:rPr>
              <w:rFonts w:hint="default"/>
              <w:lang w:val="en-US" w:eastAsia="zh-CN"/>
            </w:rPr>
            <w:t>4. 资源保障与合同符合性</w:t>
          </w:r>
          <w:r>
            <w:tab/>
          </w:r>
          <w:r>
            <w:fldChar w:fldCharType="begin"/>
          </w:r>
          <w:r>
            <w:instrText xml:space="preserve"> PAGEREF _Toc4577 \h </w:instrText>
          </w:r>
          <w:r>
            <w:fldChar w:fldCharType="separate"/>
          </w:r>
          <w:r>
            <w:t>5</w:t>
          </w:r>
          <w:r>
            <w:fldChar w:fldCharType="end"/>
          </w:r>
          <w:r>
            <w:rPr>
              <w:rFonts w:hint="eastAsia" w:ascii="宋体" w:hAnsi="宋体" w:eastAsia="宋体" w:cs="宋体"/>
              <w:szCs w:val="24"/>
            </w:rPr>
            <w:fldChar w:fldCharType="end"/>
          </w:r>
        </w:p>
        <w:p w14:paraId="3DD3D11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_Toc15330 </w:instrText>
          </w:r>
          <w:r>
            <w:rPr>
              <w:rFonts w:hint="eastAsia" w:ascii="宋体" w:hAnsi="宋体" w:eastAsia="宋体" w:cs="宋体"/>
              <w:szCs w:val="24"/>
            </w:rPr>
            <w:fldChar w:fldCharType="separate"/>
          </w:r>
          <w:r>
            <w:rPr>
              <w:rFonts w:hint="default"/>
              <w:lang w:val="en-US" w:eastAsia="zh-CN"/>
            </w:rPr>
            <w:t>5. 审计与评审</w:t>
          </w:r>
          <w:r>
            <w:tab/>
          </w:r>
          <w:r>
            <w:fldChar w:fldCharType="begin"/>
          </w:r>
          <w:r>
            <w:instrText xml:space="preserve"> PAGEREF _Toc15330 \h </w:instrText>
          </w:r>
          <w:r>
            <w:fldChar w:fldCharType="separate"/>
          </w:r>
          <w:r>
            <w:t>5</w:t>
          </w:r>
          <w:r>
            <w:fldChar w:fldCharType="end"/>
          </w:r>
          <w:r>
            <w:rPr>
              <w:rFonts w:hint="eastAsia" w:ascii="宋体" w:hAnsi="宋体" w:eastAsia="宋体" w:cs="宋体"/>
              <w:szCs w:val="24"/>
            </w:rPr>
            <w:fldChar w:fldCharType="end"/>
          </w:r>
        </w:p>
        <w:p w14:paraId="6EB3675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_Toc17917 </w:instrText>
          </w:r>
          <w:r>
            <w:rPr>
              <w:rFonts w:hint="eastAsia" w:ascii="宋体" w:hAnsi="宋体" w:eastAsia="宋体" w:cs="宋体"/>
              <w:szCs w:val="24"/>
            </w:rPr>
            <w:fldChar w:fldCharType="separate"/>
          </w:r>
          <w:r>
            <w:rPr>
              <w:rFonts w:hint="default"/>
              <w:lang w:val="en-US" w:eastAsia="zh-CN"/>
            </w:rPr>
            <w:t>6. 存在的问题、风险与改进计划</w:t>
          </w:r>
          <w:r>
            <w:tab/>
          </w:r>
          <w:r>
            <w:fldChar w:fldCharType="begin"/>
          </w:r>
          <w:r>
            <w:instrText xml:space="preserve"> PAGEREF _Toc17917 \h </w:instrText>
          </w:r>
          <w:r>
            <w:fldChar w:fldCharType="separate"/>
          </w:r>
          <w:r>
            <w:t>5</w:t>
          </w:r>
          <w:r>
            <w:fldChar w:fldCharType="end"/>
          </w:r>
          <w:r>
            <w:rPr>
              <w:rFonts w:hint="eastAsia" w:ascii="宋体" w:hAnsi="宋体" w:eastAsia="宋体" w:cs="宋体"/>
              <w:szCs w:val="24"/>
            </w:rPr>
            <w:fldChar w:fldCharType="end"/>
          </w:r>
        </w:p>
        <w:p w14:paraId="3E61B77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_Toc31944 </w:instrText>
          </w:r>
          <w:r>
            <w:rPr>
              <w:rFonts w:hint="eastAsia" w:ascii="宋体" w:hAnsi="宋体" w:eastAsia="宋体" w:cs="宋体"/>
              <w:szCs w:val="24"/>
            </w:rPr>
            <w:fldChar w:fldCharType="separate"/>
          </w:r>
          <w:r>
            <w:rPr>
              <w:rFonts w:hint="default"/>
              <w:lang w:val="en-US" w:eastAsia="zh-CN"/>
            </w:rPr>
            <w:t>7. 结论与建议</w:t>
          </w:r>
          <w:r>
            <w:tab/>
          </w:r>
          <w:r>
            <w:fldChar w:fldCharType="begin"/>
          </w:r>
          <w:r>
            <w:instrText xml:space="preserve"> PAGEREF _Toc31944 \h </w:instrText>
          </w:r>
          <w:r>
            <w:fldChar w:fldCharType="separate"/>
          </w:r>
          <w:r>
            <w:t>6</w:t>
          </w:r>
          <w:r>
            <w:fldChar w:fldCharType="end"/>
          </w:r>
          <w:r>
            <w:rPr>
              <w:rFonts w:hint="eastAsia" w:ascii="宋体" w:hAnsi="宋体" w:eastAsia="宋体" w:cs="宋体"/>
              <w:szCs w:val="24"/>
            </w:rPr>
            <w:fldChar w:fldCharType="end"/>
          </w:r>
        </w:p>
        <w:p w14:paraId="0A9BFE6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66E4461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E951212">
      <w:pPr>
        <w:pStyle w:val="28"/>
        <w:bidi w:val="0"/>
        <w:rPr>
          <w:rFonts w:hint="default"/>
          <w:lang w:val="en-US" w:eastAsia="zh-CN"/>
        </w:rPr>
      </w:pPr>
      <w:bookmarkStart w:id="2" w:name="_Toc84"/>
      <w:r>
        <w:rPr>
          <w:rFonts w:hint="default"/>
          <w:lang w:val="en-US" w:eastAsia="zh-CN"/>
        </w:rPr>
        <w:t>管理概况</w:t>
      </w:r>
      <w:bookmarkEnd w:id="2"/>
    </w:p>
    <w:p w14:paraId="2AA1A5F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截止2025年12月</w:t>
      </w:r>
      <w:r>
        <w:rPr>
          <w:rFonts w:hint="default"/>
          <w:lang w:val="en-US" w:eastAsia="zh-CN"/>
        </w:rPr>
        <w:t>，运维部严格遵循《服务可用性与连续性管理计划》，围绕“保障服务稳定、快速恢复中断、确保业务连续”三大核心目标，开展了一系列规划、监控、演练与改进活动。整体服务运行平稳，关键目标基本达成，业务连续性体系得到有效验证。本报告旨在系统总结期内工作成效，分析差距，并为下一周期管理提供输入。</w:t>
      </w:r>
    </w:p>
    <w:p w14:paraId="389D5A03">
      <w:pPr>
        <w:pStyle w:val="28"/>
        <w:bidi w:val="0"/>
        <w:rPr>
          <w:rFonts w:hint="default"/>
          <w:lang w:val="en-US" w:eastAsia="zh-CN"/>
        </w:rPr>
      </w:pPr>
      <w:bookmarkStart w:id="3" w:name="_Toc20136"/>
      <w:r>
        <w:rPr>
          <w:rFonts w:hint="default"/>
          <w:lang w:val="en-US" w:eastAsia="zh-CN"/>
        </w:rPr>
        <w:t>管理目标达成情况</w:t>
      </w:r>
      <w:bookmarkEnd w:id="3"/>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172"/>
        <w:gridCol w:w="1993"/>
        <w:gridCol w:w="3912"/>
        <w:gridCol w:w="1219"/>
      </w:tblGrid>
      <w:tr w14:paraId="1A2C2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14:paraId="222AA869">
            <w:pPr>
              <w:keepNext w:val="0"/>
              <w:keepLines w:val="0"/>
              <w:widowControl/>
              <w:suppressLineNumbers w:val="0"/>
              <w:spacing w:line="300" w:lineRule="atLeast"/>
              <w:ind w:left="0" w:leftChars="0" w:right="0" w:rightChars="0" w:firstLine="0" w:firstLineChars="0"/>
              <w:jc w:val="center"/>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管理目标</w:t>
            </w:r>
          </w:p>
        </w:tc>
        <w:tc>
          <w:tcPr>
            <w:tcW w:w="0" w:type="auto"/>
            <w:shd w:val="clear" w:color="auto" w:fill="auto"/>
            <w:tcMar>
              <w:top w:w="120" w:type="dxa"/>
              <w:left w:w="192" w:type="dxa"/>
              <w:bottom w:w="120" w:type="dxa"/>
              <w:right w:w="192" w:type="dxa"/>
            </w:tcMar>
            <w:vAlign w:val="center"/>
          </w:tcPr>
          <w:p w14:paraId="57C3DB58">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计划指标</w:t>
            </w:r>
          </w:p>
        </w:tc>
        <w:tc>
          <w:tcPr>
            <w:tcW w:w="3912" w:type="dxa"/>
            <w:shd w:val="clear" w:color="auto" w:fill="auto"/>
            <w:tcMar>
              <w:top w:w="120" w:type="dxa"/>
              <w:left w:w="192" w:type="dxa"/>
              <w:bottom w:w="120" w:type="dxa"/>
              <w:right w:w="192" w:type="dxa"/>
            </w:tcMar>
            <w:vAlign w:val="center"/>
          </w:tcPr>
          <w:p w14:paraId="10A0670A">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报告期实际达成情况</w:t>
            </w:r>
          </w:p>
        </w:tc>
        <w:tc>
          <w:tcPr>
            <w:tcW w:w="1219" w:type="dxa"/>
            <w:shd w:val="clear" w:color="auto" w:fill="auto"/>
            <w:tcMar>
              <w:top w:w="120" w:type="dxa"/>
              <w:left w:w="192" w:type="dxa"/>
              <w:bottom w:w="120" w:type="dxa"/>
              <w:right w:w="192" w:type="dxa"/>
            </w:tcMar>
            <w:vAlign w:val="center"/>
          </w:tcPr>
          <w:p w14:paraId="6242449C">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评估结论</w:t>
            </w:r>
          </w:p>
        </w:tc>
      </w:tr>
      <w:tr w14:paraId="520D5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726A1EF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可用性目标</w:t>
            </w:r>
          </w:p>
        </w:tc>
        <w:tc>
          <w:tcPr>
            <w:tcW w:w="0" w:type="auto"/>
            <w:shd w:val="clear" w:color="auto" w:fill="auto"/>
            <w:tcMar>
              <w:top w:w="120" w:type="dxa"/>
              <w:left w:w="192" w:type="dxa"/>
              <w:bottom w:w="120" w:type="dxa"/>
              <w:right w:w="192" w:type="dxa"/>
            </w:tcMar>
            <w:vAlign w:val="center"/>
          </w:tcPr>
          <w:p w14:paraId="1645149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核心业务月度可用</w:t>
            </w:r>
            <w:r>
              <w:rPr>
                <w:rFonts w:hint="eastAsia" w:ascii="Segoe UI" w:hAnsi="Segoe UI" w:eastAsia="Segoe UI" w:cs="Segoe UI"/>
                <w:i w:val="0"/>
                <w:iCs w:val="0"/>
                <w:caps w:val="0"/>
                <w:snapToGrid w:val="0"/>
                <w:color w:val="000000"/>
                <w:spacing w:val="0"/>
                <w:kern w:val="0"/>
                <w:sz w:val="18"/>
                <w:szCs w:val="18"/>
                <w:lang w:val="en-US" w:eastAsia="zh-CN"/>
              </w:rPr>
              <w:t>率</w:t>
            </w:r>
            <w:r>
              <w:rPr>
                <w:rFonts w:hint="default" w:ascii="Segoe UI" w:hAnsi="Segoe UI" w:eastAsia="Segoe UI" w:cs="Segoe UI"/>
                <w:i w:val="0"/>
                <w:iCs w:val="0"/>
                <w:caps w:val="0"/>
                <w:snapToGrid w:val="0"/>
                <w:color w:val="000000"/>
                <w:spacing w:val="0"/>
                <w:kern w:val="0"/>
                <w:sz w:val="18"/>
                <w:szCs w:val="18"/>
                <w:lang w:val="en-US" w:eastAsia="zh-CN"/>
              </w:rPr>
              <w:t>≥ 99%</w:t>
            </w:r>
          </w:p>
        </w:tc>
        <w:tc>
          <w:tcPr>
            <w:tcW w:w="3912" w:type="dxa"/>
            <w:shd w:val="clear" w:color="auto" w:fill="auto"/>
            <w:tcMar>
              <w:top w:w="120" w:type="dxa"/>
              <w:left w:w="192" w:type="dxa"/>
              <w:bottom w:w="120" w:type="dxa"/>
              <w:right w:w="192" w:type="dxa"/>
            </w:tcMar>
            <w:vAlign w:val="center"/>
          </w:tcPr>
          <w:p w14:paraId="5C016E8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统计期内，核心业务平均月度可用率为</w:t>
            </w:r>
            <w:r>
              <w:rPr>
                <w:rFonts w:hint="eastAsia" w:ascii="Segoe UI" w:hAnsi="Segoe UI" w:eastAsia="Segoe UI" w:cs="Segoe UI"/>
                <w:i w:val="0"/>
                <w:iCs w:val="0"/>
                <w:caps w:val="0"/>
                <w:snapToGrid w:val="0"/>
                <w:color w:val="000000"/>
                <w:spacing w:val="0"/>
                <w:kern w:val="0"/>
                <w:sz w:val="18"/>
                <w:szCs w:val="18"/>
                <w:lang w:val="en-US" w:eastAsia="zh-CN"/>
              </w:rPr>
              <w:t>100</w:t>
            </w:r>
            <w:r>
              <w:rPr>
                <w:rStyle w:val="23"/>
                <w:rFonts w:hint="default" w:ascii="Segoe UI" w:hAnsi="Segoe UI" w:eastAsia="Segoe UI" w:cs="Segoe UI"/>
                <w:b/>
                <w:bCs/>
                <w:i w:val="0"/>
                <w:iCs w:val="0"/>
                <w:caps w:val="0"/>
                <w:snapToGrid w:val="0"/>
                <w:color w:val="000000"/>
                <w:spacing w:val="0"/>
                <w:kern w:val="0"/>
                <w:sz w:val="18"/>
                <w:szCs w:val="18"/>
                <w:lang w:val="en-US" w:eastAsia="zh-CN"/>
              </w:rPr>
              <w:t>%</w:t>
            </w:r>
            <w:r>
              <w:rPr>
                <w:rFonts w:hint="default" w:ascii="Segoe UI" w:hAnsi="Segoe UI" w:eastAsia="Segoe UI" w:cs="Segoe UI"/>
                <w:i w:val="0"/>
                <w:iCs w:val="0"/>
                <w:caps w:val="0"/>
                <w:snapToGrid w:val="0"/>
                <w:color w:val="000000"/>
                <w:spacing w:val="0"/>
                <w:kern w:val="0"/>
                <w:sz w:val="18"/>
                <w:szCs w:val="18"/>
                <w:lang w:val="en-US" w:eastAsia="zh-CN"/>
              </w:rPr>
              <w:t>。7x24小时服务访问通道持续畅通。</w:t>
            </w:r>
          </w:p>
        </w:tc>
        <w:tc>
          <w:tcPr>
            <w:tcW w:w="1219" w:type="dxa"/>
            <w:shd w:val="clear" w:color="auto" w:fill="auto"/>
            <w:tcMar>
              <w:top w:w="120" w:type="dxa"/>
              <w:left w:w="192" w:type="dxa"/>
              <w:bottom w:w="120" w:type="dxa"/>
              <w:right w:w="0" w:type="dxa"/>
            </w:tcMar>
            <w:vAlign w:val="center"/>
          </w:tcPr>
          <w:p w14:paraId="5D770B4A">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达标</w:t>
            </w:r>
          </w:p>
        </w:tc>
      </w:tr>
      <w:tr w14:paraId="65C8F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05F88B4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恢复目标 (RTO)</w:t>
            </w:r>
          </w:p>
        </w:tc>
        <w:tc>
          <w:tcPr>
            <w:tcW w:w="0" w:type="auto"/>
            <w:shd w:val="clear" w:color="auto" w:fill="auto"/>
            <w:tcMar>
              <w:top w:w="120" w:type="dxa"/>
              <w:left w:w="192" w:type="dxa"/>
              <w:bottom w:w="120" w:type="dxa"/>
              <w:right w:w="192" w:type="dxa"/>
            </w:tcMar>
            <w:vAlign w:val="center"/>
          </w:tcPr>
          <w:p w14:paraId="46741DB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重大中断后，核心业务4小时内恢复基本功能。</w:t>
            </w:r>
          </w:p>
        </w:tc>
        <w:tc>
          <w:tcPr>
            <w:tcW w:w="3912" w:type="dxa"/>
            <w:shd w:val="clear" w:color="auto" w:fill="auto"/>
            <w:tcMar>
              <w:top w:w="120" w:type="dxa"/>
              <w:left w:w="192" w:type="dxa"/>
              <w:bottom w:w="120" w:type="dxa"/>
              <w:right w:w="192" w:type="dxa"/>
            </w:tcMar>
            <w:vAlign w:val="center"/>
          </w:tcPr>
          <w:p w14:paraId="3B3CA1E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报告期内</w:t>
            </w:r>
            <w:r>
              <w:rPr>
                <w:rFonts w:hint="eastAsia" w:ascii="Segoe UI" w:hAnsi="Segoe UI" w:eastAsia="Segoe UI" w:cs="Segoe UI"/>
                <w:i w:val="0"/>
                <w:iCs w:val="0"/>
                <w:caps w:val="0"/>
                <w:snapToGrid w:val="0"/>
                <w:color w:val="000000"/>
                <w:spacing w:val="0"/>
                <w:kern w:val="0"/>
                <w:sz w:val="18"/>
                <w:szCs w:val="18"/>
                <w:lang w:val="en-US" w:eastAsia="zh-CN"/>
              </w:rPr>
              <w:t>未发生</w:t>
            </w:r>
            <w:r>
              <w:rPr>
                <w:rFonts w:hint="default" w:ascii="Segoe UI" w:hAnsi="Segoe UI" w:eastAsia="Segoe UI" w:cs="Segoe UI"/>
                <w:i w:val="0"/>
                <w:iCs w:val="0"/>
                <w:caps w:val="0"/>
                <w:snapToGrid w:val="0"/>
                <w:color w:val="000000"/>
                <w:spacing w:val="0"/>
                <w:kern w:val="0"/>
                <w:sz w:val="18"/>
                <w:szCs w:val="18"/>
                <w:lang w:val="en-US" w:eastAsia="zh-CN"/>
              </w:rPr>
              <w:t>“重大中断”。</w:t>
            </w:r>
          </w:p>
        </w:tc>
        <w:tc>
          <w:tcPr>
            <w:tcW w:w="1219" w:type="dxa"/>
            <w:shd w:val="clear" w:color="auto" w:fill="auto"/>
            <w:tcMar>
              <w:top w:w="120" w:type="dxa"/>
              <w:left w:w="192" w:type="dxa"/>
              <w:bottom w:w="120" w:type="dxa"/>
              <w:right w:w="0" w:type="dxa"/>
            </w:tcMar>
            <w:vAlign w:val="center"/>
          </w:tcPr>
          <w:p w14:paraId="6627B152">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超额达标</w:t>
            </w:r>
          </w:p>
        </w:tc>
      </w:tr>
      <w:tr w14:paraId="2CB9D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52DCFF3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恢复目标 (RPO)</w:t>
            </w:r>
          </w:p>
        </w:tc>
        <w:tc>
          <w:tcPr>
            <w:tcW w:w="0" w:type="auto"/>
            <w:shd w:val="clear" w:color="auto" w:fill="auto"/>
            <w:tcMar>
              <w:top w:w="120" w:type="dxa"/>
              <w:left w:w="192" w:type="dxa"/>
              <w:bottom w:w="120" w:type="dxa"/>
              <w:right w:w="192" w:type="dxa"/>
            </w:tcMar>
            <w:vAlign w:val="center"/>
          </w:tcPr>
          <w:p w14:paraId="75E523A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核心业务数据丢失不超过1小时。</w:t>
            </w:r>
          </w:p>
        </w:tc>
        <w:tc>
          <w:tcPr>
            <w:tcW w:w="3912" w:type="dxa"/>
            <w:shd w:val="clear" w:color="auto" w:fill="auto"/>
            <w:tcMar>
              <w:top w:w="120" w:type="dxa"/>
              <w:left w:w="192" w:type="dxa"/>
              <w:bottom w:w="120" w:type="dxa"/>
              <w:right w:w="192" w:type="dxa"/>
            </w:tcMar>
            <w:vAlign w:val="center"/>
          </w:tcPr>
          <w:p w14:paraId="5E0CEEA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通过“主从同步+每日增量备份”机制，实际数据损失窗口约为 </w:t>
            </w:r>
            <w:r>
              <w:rPr>
                <w:rStyle w:val="23"/>
                <w:rFonts w:hint="default" w:ascii="Segoe UI" w:hAnsi="Segoe UI" w:eastAsia="Segoe UI" w:cs="Segoe UI"/>
                <w:b/>
                <w:bCs/>
                <w:i w:val="0"/>
                <w:iCs w:val="0"/>
                <w:caps w:val="0"/>
                <w:snapToGrid w:val="0"/>
                <w:color w:val="000000"/>
                <w:spacing w:val="0"/>
                <w:kern w:val="0"/>
                <w:sz w:val="18"/>
                <w:szCs w:val="18"/>
                <w:lang w:val="en-US" w:eastAsia="zh-CN"/>
              </w:rPr>
              <w:t>5分钟</w:t>
            </w:r>
            <w:r>
              <w:rPr>
                <w:rFonts w:hint="default" w:ascii="Segoe UI" w:hAnsi="Segoe UI" w:eastAsia="Segoe UI" w:cs="Segoe UI"/>
                <w:i w:val="0"/>
                <w:iCs w:val="0"/>
                <w:caps w:val="0"/>
                <w:snapToGrid w:val="0"/>
                <w:color w:val="000000"/>
                <w:spacing w:val="0"/>
                <w:kern w:val="0"/>
                <w:sz w:val="18"/>
                <w:szCs w:val="18"/>
                <w:lang w:val="en-US" w:eastAsia="zh-CN"/>
              </w:rPr>
              <w:t>（故障发生至最后同步时间点）。</w:t>
            </w:r>
          </w:p>
        </w:tc>
        <w:tc>
          <w:tcPr>
            <w:tcW w:w="1219" w:type="dxa"/>
            <w:shd w:val="clear" w:color="auto" w:fill="auto"/>
            <w:tcMar>
              <w:top w:w="120" w:type="dxa"/>
              <w:left w:w="192" w:type="dxa"/>
              <w:bottom w:w="120" w:type="dxa"/>
              <w:right w:w="0" w:type="dxa"/>
            </w:tcMar>
            <w:vAlign w:val="center"/>
          </w:tcPr>
          <w:p w14:paraId="61683193">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超额达标</w:t>
            </w:r>
          </w:p>
        </w:tc>
      </w:tr>
      <w:tr w14:paraId="35F2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55E7D28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连续性目标 (BCP RTO)</w:t>
            </w:r>
          </w:p>
        </w:tc>
        <w:tc>
          <w:tcPr>
            <w:tcW w:w="0" w:type="auto"/>
            <w:shd w:val="clear" w:color="auto" w:fill="auto"/>
            <w:tcMar>
              <w:top w:w="120" w:type="dxa"/>
              <w:left w:w="192" w:type="dxa"/>
              <w:bottom w:w="120" w:type="dxa"/>
              <w:right w:w="192" w:type="dxa"/>
            </w:tcMar>
            <w:vAlign w:val="center"/>
          </w:tcPr>
          <w:p w14:paraId="3D47ACA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灾难场景下，24小时内在备用站点恢复关键服务。</w:t>
            </w:r>
          </w:p>
        </w:tc>
        <w:tc>
          <w:tcPr>
            <w:tcW w:w="3912" w:type="dxa"/>
            <w:shd w:val="clear" w:color="auto" w:fill="auto"/>
            <w:tcMar>
              <w:top w:w="120" w:type="dxa"/>
              <w:left w:w="192" w:type="dxa"/>
              <w:bottom w:w="120" w:type="dxa"/>
              <w:right w:w="192" w:type="dxa"/>
            </w:tcMar>
            <w:vAlign w:val="center"/>
          </w:tcPr>
          <w:p w14:paraId="7DFB1E0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通过年度模拟切换演练验证，在备用云环境成功恢复核心数据库与应用服务，总耗时 </w:t>
            </w:r>
            <w:r>
              <w:rPr>
                <w:rStyle w:val="23"/>
                <w:rFonts w:hint="default" w:ascii="Segoe UI" w:hAnsi="Segoe UI" w:eastAsia="Segoe UI" w:cs="Segoe UI"/>
                <w:b/>
                <w:bCs/>
                <w:i w:val="0"/>
                <w:iCs w:val="0"/>
                <w:caps w:val="0"/>
                <w:snapToGrid w:val="0"/>
                <w:color w:val="000000"/>
                <w:spacing w:val="0"/>
                <w:kern w:val="0"/>
                <w:sz w:val="18"/>
                <w:szCs w:val="18"/>
                <w:lang w:val="en-US" w:eastAsia="zh-CN"/>
              </w:rPr>
              <w:t>18小时40分钟</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1219" w:type="dxa"/>
            <w:shd w:val="clear" w:color="auto" w:fill="auto"/>
            <w:tcMar>
              <w:top w:w="120" w:type="dxa"/>
              <w:left w:w="192" w:type="dxa"/>
              <w:bottom w:w="120" w:type="dxa"/>
              <w:right w:w="0" w:type="dxa"/>
            </w:tcMar>
            <w:vAlign w:val="center"/>
          </w:tcPr>
          <w:p w14:paraId="5853D1CD">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达标</w:t>
            </w:r>
          </w:p>
        </w:tc>
      </w:tr>
      <w:tr w14:paraId="381C3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6BA4B42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连续性目标 (BCP RPO)</w:t>
            </w:r>
          </w:p>
        </w:tc>
        <w:tc>
          <w:tcPr>
            <w:tcW w:w="0" w:type="auto"/>
            <w:shd w:val="clear" w:color="auto" w:fill="auto"/>
            <w:tcMar>
              <w:top w:w="120" w:type="dxa"/>
              <w:left w:w="192" w:type="dxa"/>
              <w:bottom w:w="120" w:type="dxa"/>
              <w:right w:w="192" w:type="dxa"/>
            </w:tcMar>
            <w:vAlign w:val="center"/>
          </w:tcPr>
          <w:p w14:paraId="7226A02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灾难场景下，核心数据损失不超过24小时。</w:t>
            </w:r>
          </w:p>
        </w:tc>
        <w:tc>
          <w:tcPr>
            <w:tcW w:w="3912" w:type="dxa"/>
            <w:shd w:val="clear" w:color="auto" w:fill="auto"/>
            <w:tcMar>
              <w:top w:w="120" w:type="dxa"/>
              <w:left w:w="192" w:type="dxa"/>
              <w:bottom w:w="120" w:type="dxa"/>
              <w:right w:w="192" w:type="dxa"/>
            </w:tcMar>
            <w:vAlign w:val="center"/>
          </w:tcPr>
          <w:p w14:paraId="6F3FF66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异地备份数据同步延迟最大为 </w:t>
            </w:r>
            <w:r>
              <w:rPr>
                <w:rStyle w:val="23"/>
                <w:rFonts w:hint="default" w:ascii="Segoe UI" w:hAnsi="Segoe UI" w:eastAsia="Segoe UI" w:cs="Segoe UI"/>
                <w:b/>
                <w:bCs/>
                <w:i w:val="0"/>
                <w:iCs w:val="0"/>
                <w:caps w:val="0"/>
                <w:snapToGrid w:val="0"/>
                <w:color w:val="000000"/>
                <w:spacing w:val="0"/>
                <w:kern w:val="0"/>
                <w:sz w:val="18"/>
                <w:szCs w:val="18"/>
                <w:lang w:val="en-US" w:eastAsia="zh-CN"/>
              </w:rPr>
              <w:t>12小时</w:t>
            </w:r>
            <w:r>
              <w:rPr>
                <w:rFonts w:hint="default" w:ascii="Segoe UI" w:hAnsi="Segoe UI" w:eastAsia="Segoe UI" w:cs="Segoe UI"/>
                <w:i w:val="0"/>
                <w:iCs w:val="0"/>
                <w:caps w:val="0"/>
                <w:snapToGrid w:val="0"/>
                <w:color w:val="000000"/>
                <w:spacing w:val="0"/>
                <w:kern w:val="0"/>
                <w:sz w:val="18"/>
                <w:szCs w:val="18"/>
                <w:lang w:val="en-US" w:eastAsia="zh-CN"/>
              </w:rPr>
              <w:t>，满足目标要求。</w:t>
            </w:r>
          </w:p>
        </w:tc>
        <w:tc>
          <w:tcPr>
            <w:tcW w:w="1219" w:type="dxa"/>
            <w:shd w:val="clear" w:color="auto" w:fill="auto"/>
            <w:tcMar>
              <w:top w:w="120" w:type="dxa"/>
              <w:left w:w="192" w:type="dxa"/>
              <w:bottom w:w="120" w:type="dxa"/>
              <w:right w:w="0" w:type="dxa"/>
            </w:tcMar>
            <w:vAlign w:val="center"/>
          </w:tcPr>
          <w:p w14:paraId="09B7A127">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达标</w:t>
            </w:r>
          </w:p>
        </w:tc>
      </w:tr>
    </w:tbl>
    <w:p w14:paraId="03CF8F98">
      <w:pPr>
        <w:pStyle w:val="28"/>
        <w:bidi w:val="0"/>
        <w:rPr>
          <w:rFonts w:hint="default"/>
          <w:lang w:val="en-US" w:eastAsia="zh-CN"/>
        </w:rPr>
      </w:pPr>
      <w:bookmarkStart w:id="4" w:name="_Toc10739"/>
      <w:r>
        <w:rPr>
          <w:rFonts w:hint="default"/>
          <w:lang w:val="en-US" w:eastAsia="zh-CN"/>
        </w:rPr>
        <w:t>关键管理活动总结</w:t>
      </w:r>
      <w:bookmarkEnd w:id="4"/>
    </w:p>
    <w:p w14:paraId="3D0DB5EF">
      <w:pPr>
        <w:pStyle w:val="30"/>
        <w:bidi w:val="0"/>
        <w:rPr>
          <w:rFonts w:hint="default"/>
          <w:lang w:val="en-US" w:eastAsia="zh-CN"/>
        </w:rPr>
      </w:pPr>
      <w:bookmarkStart w:id="5" w:name="_Toc22572"/>
      <w:r>
        <w:rPr>
          <w:rFonts w:hint="default"/>
          <w:lang w:val="en-US" w:eastAsia="zh-CN"/>
        </w:rPr>
        <w:t>日常监控与预防性维护</w:t>
      </w:r>
      <w:bookmarkEnd w:id="5"/>
    </w:p>
    <w:p w14:paraId="5525B32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监控体系：基于计划4.2条建立的监控体系运行有效，累计产生预警告警156条，均得到及时处置，成功预防潜在故障8起。</w:t>
      </w:r>
    </w:p>
    <w:p w14:paraId="53C4109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容量管理：按季度分析资源趋势，并于9月完成一次应用服务器集群的在线扩容，有效应对了业务增长带来的负载压力。</w:t>
      </w:r>
    </w:p>
    <w:p w14:paraId="4219709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计划内维护：执行计划内维护3次（包括安全补丁更新、数据库优化），均提前通知甲方并安排在低峰期，未对SLA达成造成影响。</w:t>
      </w:r>
    </w:p>
    <w:p w14:paraId="2CC509DF">
      <w:pPr>
        <w:pStyle w:val="30"/>
        <w:bidi w:val="0"/>
        <w:rPr>
          <w:rFonts w:hint="default"/>
          <w:lang w:val="en-US" w:eastAsia="zh-CN"/>
        </w:rPr>
      </w:pPr>
      <w:bookmarkStart w:id="6" w:name="_Toc5223"/>
      <w:r>
        <w:rPr>
          <w:rFonts w:hint="default"/>
          <w:lang w:val="en-US" w:eastAsia="zh-CN"/>
        </w:rPr>
        <w:t>事件与应急响应</w:t>
      </w:r>
      <w:bookmarkEnd w:id="6"/>
    </w:p>
    <w:p w14:paraId="0F684DF3">
      <w:pPr>
        <w:pStyle w:val="29"/>
        <w:rPr>
          <w:rFonts w:hint="default"/>
          <w:lang w:val="en-US" w:eastAsia="zh-CN"/>
        </w:rPr>
      </w:pPr>
      <w:r>
        <w:rPr>
          <w:rFonts w:hint="eastAsia"/>
          <w:lang w:val="en-US" w:eastAsia="zh-CN"/>
        </w:rPr>
        <w:t>在运维过程中没有发生应急事件。</w:t>
      </w:r>
    </w:p>
    <w:p w14:paraId="27580CF1">
      <w:pPr>
        <w:pStyle w:val="30"/>
        <w:bidi w:val="0"/>
        <w:rPr>
          <w:rFonts w:hint="default"/>
          <w:lang w:val="en-US" w:eastAsia="zh-CN"/>
        </w:rPr>
      </w:pPr>
      <w:bookmarkStart w:id="7" w:name="_Toc13678"/>
      <w:r>
        <w:rPr>
          <w:rFonts w:hint="default"/>
          <w:lang w:val="en-US" w:eastAsia="zh-CN"/>
        </w:rPr>
        <w:t>业务连续性演练与测试</w:t>
      </w:r>
      <w:bookmarkEnd w:id="7"/>
    </w:p>
    <w:p w14:paraId="254AED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演练执行：于2025年</w:t>
      </w:r>
      <w:r>
        <w:rPr>
          <w:rFonts w:hint="eastAsia"/>
          <w:lang w:val="en-US" w:eastAsia="zh-CN"/>
        </w:rPr>
        <w:t>9</w:t>
      </w:r>
      <w:r>
        <w:rPr>
          <w:rFonts w:hint="default"/>
          <w:lang w:val="en-US" w:eastAsia="zh-CN"/>
        </w:rPr>
        <w:t>月组织了年度业务连续性</w:t>
      </w:r>
      <w:r>
        <w:rPr>
          <w:rFonts w:hint="eastAsia"/>
          <w:lang w:val="en-US" w:eastAsia="zh-CN"/>
        </w:rPr>
        <w:t>现场处置演练</w:t>
      </w:r>
      <w:r>
        <w:rPr>
          <w:rFonts w:hint="default"/>
          <w:lang w:val="en-US" w:eastAsia="zh-CN"/>
        </w:rPr>
        <w:t>与部分系统模拟切换测试，演练场景为</w:t>
      </w:r>
      <w:r>
        <w:t>服务器托管服务核心风险设置三个连续模拟场景</w:t>
      </w:r>
      <w:r>
        <w:rPr>
          <w:rFonts w:hint="default"/>
          <w:lang w:val="en-US" w:eastAsia="zh-CN"/>
        </w:rPr>
        <w:t>。</w:t>
      </w:r>
    </w:p>
    <w:p w14:paraId="728A2FF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演练成果：验证了BCP预案的可行性、团队协作流程及备用资源的可用性。达到了计划6.1条设定的演练目标，并识别出3项待优化项（见第六部分）。</w:t>
      </w:r>
    </w:p>
    <w:p w14:paraId="79D9852A">
      <w:pPr>
        <w:pStyle w:val="28"/>
        <w:bidi w:val="0"/>
        <w:rPr>
          <w:rFonts w:hint="default"/>
          <w:lang w:val="en-US" w:eastAsia="zh-CN"/>
        </w:rPr>
      </w:pPr>
      <w:bookmarkStart w:id="8" w:name="_Toc4577"/>
      <w:r>
        <w:rPr>
          <w:rFonts w:hint="default"/>
          <w:lang w:val="en-US" w:eastAsia="zh-CN"/>
        </w:rPr>
        <w:t>资源保障与合同符合性</w:t>
      </w:r>
      <w:bookmarkEnd w:id="8"/>
    </w:p>
    <w:p w14:paraId="335802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团队与知识：项目团队保持稳定，核心运维人员均参与相关培训与演练，熟练掌握恢复流程。服务知识库中更新了本次重大事件的解决方案及恢复检查单。</w:t>
      </w:r>
    </w:p>
    <w:p w14:paraId="312AC6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备件与供应商：采购部与备品备件管理员确保了关键备件的库存。与云服务商的合同包含明确的备用资源启用条款，为连续性恢复提供了合约保障。</w:t>
      </w:r>
    </w:p>
    <w:p w14:paraId="5A2D02A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SLA符合性：所有服务请求与故障申报均在合同约定的时限内响应与处理，未发生因我方原因导致的SLA违约。</w:t>
      </w:r>
    </w:p>
    <w:p w14:paraId="7BDFDE85">
      <w:pPr>
        <w:pStyle w:val="28"/>
        <w:bidi w:val="0"/>
        <w:rPr>
          <w:rFonts w:hint="default"/>
          <w:lang w:val="en-US" w:eastAsia="zh-CN"/>
        </w:rPr>
      </w:pPr>
      <w:bookmarkStart w:id="9" w:name="_Toc15330"/>
      <w:r>
        <w:rPr>
          <w:rFonts w:hint="default"/>
          <w:lang w:val="en-US" w:eastAsia="zh-CN"/>
        </w:rPr>
        <w:t>审计与评审</w:t>
      </w:r>
      <w:bookmarkEnd w:id="9"/>
    </w:p>
    <w:p w14:paraId="60FECB2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于2025年12月对本计划的执行情况进行了专项审计。审计认为：可用性与连续性管理活动按计划开展，记录完整，目标达成情况良好。同时提出1项观察项：备用环境的部分系统配置版本与生产环境存在细微差异，需纳入配置管理统一管控。该观察项已列入改进计划。</w:t>
      </w:r>
    </w:p>
    <w:p w14:paraId="7EA4B463">
      <w:pPr>
        <w:pStyle w:val="28"/>
        <w:bidi w:val="0"/>
        <w:rPr>
          <w:rFonts w:hint="default"/>
          <w:lang w:val="en-US" w:eastAsia="zh-CN"/>
        </w:rPr>
      </w:pPr>
      <w:bookmarkStart w:id="10" w:name="_Toc17917"/>
      <w:r>
        <w:rPr>
          <w:rFonts w:hint="default"/>
          <w:lang w:val="en-US" w:eastAsia="zh-CN"/>
        </w:rPr>
        <w:t>存在的问题、风险与改进计划</w:t>
      </w:r>
      <w:bookmarkEnd w:id="10"/>
    </w:p>
    <w:p w14:paraId="64F25CAC">
      <w:pPr>
        <w:rPr>
          <w:rFonts w:hint="default"/>
          <w:lang w:val="en-US" w:eastAsia="zh-CN"/>
        </w:rPr>
      </w:pPr>
      <w:r>
        <w:rPr>
          <w:rFonts w:hint="default"/>
          <w:lang w:val="en-US" w:eastAsia="zh-CN"/>
        </w:rPr>
        <w:br w:type="page"/>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31"/>
        <w:gridCol w:w="1421"/>
        <w:gridCol w:w="1762"/>
        <w:gridCol w:w="2525"/>
        <w:gridCol w:w="1310"/>
        <w:gridCol w:w="847"/>
      </w:tblGrid>
      <w:tr w14:paraId="34A0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14:paraId="4623140A">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序号</w:t>
            </w:r>
          </w:p>
        </w:tc>
        <w:tc>
          <w:tcPr>
            <w:tcW w:w="0" w:type="auto"/>
            <w:shd w:val="clear" w:color="auto" w:fill="auto"/>
            <w:tcMar>
              <w:top w:w="120" w:type="dxa"/>
              <w:left w:w="192" w:type="dxa"/>
              <w:bottom w:w="120" w:type="dxa"/>
              <w:right w:w="192" w:type="dxa"/>
            </w:tcMar>
            <w:vAlign w:val="center"/>
          </w:tcPr>
          <w:p w14:paraId="476C506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问题/风险描述</w:t>
            </w:r>
          </w:p>
        </w:tc>
        <w:tc>
          <w:tcPr>
            <w:tcW w:w="0" w:type="auto"/>
            <w:shd w:val="clear" w:color="auto" w:fill="auto"/>
            <w:tcMar>
              <w:top w:w="120" w:type="dxa"/>
              <w:left w:w="192" w:type="dxa"/>
              <w:bottom w:w="120" w:type="dxa"/>
              <w:right w:w="192" w:type="dxa"/>
            </w:tcMar>
            <w:vAlign w:val="center"/>
          </w:tcPr>
          <w:p w14:paraId="5F5376A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影响分析</w:t>
            </w:r>
          </w:p>
        </w:tc>
        <w:tc>
          <w:tcPr>
            <w:tcW w:w="2525" w:type="dxa"/>
            <w:shd w:val="clear" w:color="auto" w:fill="auto"/>
            <w:tcMar>
              <w:top w:w="120" w:type="dxa"/>
              <w:left w:w="192" w:type="dxa"/>
              <w:bottom w:w="120" w:type="dxa"/>
              <w:right w:w="192" w:type="dxa"/>
            </w:tcMar>
            <w:vAlign w:val="center"/>
          </w:tcPr>
          <w:p w14:paraId="67E3A2D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改进措施</w:t>
            </w:r>
          </w:p>
        </w:tc>
        <w:tc>
          <w:tcPr>
            <w:tcW w:w="1310" w:type="dxa"/>
            <w:shd w:val="clear" w:color="auto" w:fill="auto"/>
            <w:tcMar>
              <w:top w:w="120" w:type="dxa"/>
              <w:left w:w="192" w:type="dxa"/>
              <w:bottom w:w="120" w:type="dxa"/>
              <w:right w:w="192" w:type="dxa"/>
            </w:tcMar>
            <w:vAlign w:val="center"/>
          </w:tcPr>
          <w:p w14:paraId="3115C62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责任部门</w:t>
            </w:r>
          </w:p>
        </w:tc>
        <w:tc>
          <w:tcPr>
            <w:tcW w:w="0" w:type="auto"/>
            <w:shd w:val="clear" w:color="auto" w:fill="auto"/>
            <w:tcMar>
              <w:top w:w="120" w:type="dxa"/>
              <w:left w:w="192" w:type="dxa"/>
              <w:bottom w:w="120" w:type="dxa"/>
              <w:right w:w="192" w:type="dxa"/>
            </w:tcMar>
            <w:vAlign w:val="center"/>
          </w:tcPr>
          <w:p w14:paraId="1C19DA7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计划完成时间</w:t>
            </w:r>
          </w:p>
        </w:tc>
      </w:tr>
      <w:tr w14:paraId="001D8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584EE38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0" w:type="auto"/>
            <w:shd w:val="clear" w:color="auto" w:fill="auto"/>
            <w:tcMar>
              <w:top w:w="120" w:type="dxa"/>
              <w:left w:w="192" w:type="dxa"/>
              <w:bottom w:w="120" w:type="dxa"/>
              <w:right w:w="192" w:type="dxa"/>
            </w:tcMar>
            <w:vAlign w:val="center"/>
          </w:tcPr>
          <w:p w14:paraId="5C9B8C4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备用环境配置与生产环境存在版本差异</w:t>
            </w:r>
          </w:p>
        </w:tc>
        <w:tc>
          <w:tcPr>
            <w:tcW w:w="0" w:type="auto"/>
            <w:shd w:val="clear" w:color="auto" w:fill="auto"/>
            <w:tcMar>
              <w:top w:w="120" w:type="dxa"/>
              <w:left w:w="192" w:type="dxa"/>
              <w:bottom w:w="120" w:type="dxa"/>
              <w:right w:w="192" w:type="dxa"/>
            </w:tcMar>
            <w:vAlign w:val="center"/>
          </w:tcPr>
          <w:p w14:paraId="65849AA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灾难切换后可能出现兼容性问题或功能不一致。</w:t>
            </w:r>
          </w:p>
        </w:tc>
        <w:tc>
          <w:tcPr>
            <w:tcW w:w="2525" w:type="dxa"/>
            <w:shd w:val="clear" w:color="auto" w:fill="auto"/>
            <w:tcMar>
              <w:top w:w="120" w:type="dxa"/>
              <w:left w:w="192" w:type="dxa"/>
              <w:bottom w:w="120" w:type="dxa"/>
              <w:right w:w="192" w:type="dxa"/>
            </w:tcMar>
            <w:vAlign w:val="center"/>
          </w:tcPr>
          <w:p w14:paraId="0871BF1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将备用环境纳入CMDB统一管理，建立与生产环境的定期配置同步与验证流程。</w:t>
            </w:r>
          </w:p>
        </w:tc>
        <w:tc>
          <w:tcPr>
            <w:tcW w:w="1310" w:type="dxa"/>
            <w:shd w:val="clear" w:color="auto" w:fill="auto"/>
            <w:tcMar>
              <w:top w:w="120" w:type="dxa"/>
              <w:left w:w="192" w:type="dxa"/>
              <w:bottom w:w="120" w:type="dxa"/>
              <w:right w:w="192" w:type="dxa"/>
            </w:tcMar>
            <w:vAlign w:val="center"/>
          </w:tcPr>
          <w:p w14:paraId="23470DA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0" w:type="auto"/>
            <w:shd w:val="clear" w:color="auto" w:fill="auto"/>
            <w:tcMar>
              <w:top w:w="120" w:type="dxa"/>
              <w:left w:w="192" w:type="dxa"/>
              <w:bottom w:w="120" w:type="dxa"/>
              <w:right w:w="0" w:type="dxa"/>
            </w:tcMar>
            <w:vAlign w:val="center"/>
          </w:tcPr>
          <w:p w14:paraId="35286E5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2026年Q1</w:t>
            </w:r>
          </w:p>
        </w:tc>
      </w:tr>
      <w:tr w14:paraId="0103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60753EB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0" w:type="auto"/>
            <w:shd w:val="clear" w:color="auto" w:fill="auto"/>
            <w:tcMar>
              <w:top w:w="120" w:type="dxa"/>
              <w:left w:w="192" w:type="dxa"/>
              <w:bottom w:w="120" w:type="dxa"/>
              <w:right w:w="192" w:type="dxa"/>
            </w:tcMar>
            <w:vAlign w:val="center"/>
          </w:tcPr>
          <w:p w14:paraId="4109591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业务连续性演练未涉及全链路</w:t>
            </w:r>
          </w:p>
        </w:tc>
        <w:tc>
          <w:tcPr>
            <w:tcW w:w="0" w:type="auto"/>
            <w:shd w:val="clear" w:color="auto" w:fill="auto"/>
            <w:tcMar>
              <w:top w:w="120" w:type="dxa"/>
              <w:left w:w="192" w:type="dxa"/>
              <w:bottom w:w="120" w:type="dxa"/>
              <w:right w:w="192" w:type="dxa"/>
            </w:tcMar>
            <w:vAlign w:val="center"/>
          </w:tcPr>
          <w:p w14:paraId="5FB3616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对端到端业务恢复能力的验证不够充分。</w:t>
            </w:r>
          </w:p>
        </w:tc>
        <w:tc>
          <w:tcPr>
            <w:tcW w:w="2525" w:type="dxa"/>
            <w:shd w:val="clear" w:color="auto" w:fill="auto"/>
            <w:tcMar>
              <w:top w:w="120" w:type="dxa"/>
              <w:left w:w="192" w:type="dxa"/>
              <w:bottom w:w="120" w:type="dxa"/>
              <w:right w:w="192" w:type="dxa"/>
            </w:tcMar>
            <w:vAlign w:val="center"/>
          </w:tcPr>
          <w:p w14:paraId="0BFC1BD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在2026年演练计划中，设计包含关键外部接口模拟的演练场景，并与相关方提前协调。</w:t>
            </w:r>
          </w:p>
        </w:tc>
        <w:tc>
          <w:tcPr>
            <w:tcW w:w="1310" w:type="dxa"/>
            <w:shd w:val="clear" w:color="auto" w:fill="auto"/>
            <w:tcMar>
              <w:top w:w="120" w:type="dxa"/>
              <w:left w:w="192" w:type="dxa"/>
              <w:bottom w:w="120" w:type="dxa"/>
              <w:right w:w="192" w:type="dxa"/>
            </w:tcMar>
            <w:vAlign w:val="center"/>
          </w:tcPr>
          <w:p w14:paraId="6188F23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运维部、研发部</w:t>
            </w:r>
          </w:p>
        </w:tc>
        <w:tc>
          <w:tcPr>
            <w:tcW w:w="0" w:type="auto"/>
            <w:shd w:val="clear" w:color="auto" w:fill="auto"/>
            <w:tcMar>
              <w:top w:w="120" w:type="dxa"/>
              <w:left w:w="192" w:type="dxa"/>
              <w:bottom w:w="120" w:type="dxa"/>
              <w:right w:w="0" w:type="dxa"/>
            </w:tcMar>
            <w:vAlign w:val="center"/>
          </w:tcPr>
          <w:p w14:paraId="6B93388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2026年Q3</w:t>
            </w:r>
          </w:p>
        </w:tc>
      </w:tr>
      <w:tr w14:paraId="7E183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0127FC6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w:t>
            </w:r>
          </w:p>
        </w:tc>
        <w:tc>
          <w:tcPr>
            <w:tcW w:w="0" w:type="auto"/>
            <w:shd w:val="clear" w:color="auto" w:fill="auto"/>
            <w:tcMar>
              <w:top w:w="120" w:type="dxa"/>
              <w:left w:w="192" w:type="dxa"/>
              <w:bottom w:w="120" w:type="dxa"/>
              <w:right w:w="192" w:type="dxa"/>
            </w:tcMar>
            <w:vAlign w:val="center"/>
          </w:tcPr>
          <w:p w14:paraId="619DF36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部分监控指标的阈值设置过于宽松</w:t>
            </w:r>
          </w:p>
        </w:tc>
        <w:tc>
          <w:tcPr>
            <w:tcW w:w="0" w:type="auto"/>
            <w:shd w:val="clear" w:color="auto" w:fill="auto"/>
            <w:tcMar>
              <w:top w:w="120" w:type="dxa"/>
              <w:left w:w="192" w:type="dxa"/>
              <w:bottom w:w="120" w:type="dxa"/>
              <w:right w:w="192" w:type="dxa"/>
            </w:tcMar>
            <w:vAlign w:val="center"/>
          </w:tcPr>
          <w:p w14:paraId="13726C6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可能导致潜在性能问题未能被提前预警。</w:t>
            </w:r>
          </w:p>
        </w:tc>
        <w:tc>
          <w:tcPr>
            <w:tcW w:w="2525" w:type="dxa"/>
            <w:shd w:val="clear" w:color="auto" w:fill="auto"/>
            <w:tcMar>
              <w:top w:w="120" w:type="dxa"/>
              <w:left w:w="192" w:type="dxa"/>
              <w:bottom w:w="120" w:type="dxa"/>
              <w:right w:w="192" w:type="dxa"/>
            </w:tcMar>
            <w:vAlign w:val="center"/>
          </w:tcPr>
          <w:p w14:paraId="689FD43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基于历史数据分析，重新评估并收紧关键性能指标（如API响应时间、队列深度）的告警阈值。</w:t>
            </w:r>
          </w:p>
        </w:tc>
        <w:tc>
          <w:tcPr>
            <w:tcW w:w="1310" w:type="dxa"/>
            <w:shd w:val="clear" w:color="auto" w:fill="auto"/>
            <w:tcMar>
              <w:top w:w="120" w:type="dxa"/>
              <w:left w:w="192" w:type="dxa"/>
              <w:bottom w:w="120" w:type="dxa"/>
              <w:right w:w="192" w:type="dxa"/>
            </w:tcMar>
            <w:vAlign w:val="center"/>
          </w:tcPr>
          <w:p w14:paraId="0368F22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0" w:type="auto"/>
            <w:shd w:val="clear" w:color="auto" w:fill="auto"/>
            <w:vAlign w:val="center"/>
          </w:tcPr>
          <w:p w14:paraId="274CE1E4">
            <w:pPr>
              <w:rPr>
                <w:rFonts w:hint="eastAsia"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snapToGrid w:val="0"/>
                <w:color w:val="000000"/>
                <w:spacing w:val="0"/>
                <w:kern w:val="0"/>
                <w:sz w:val="18"/>
                <w:szCs w:val="18"/>
                <w:lang w:val="en-US" w:eastAsia="zh-CN"/>
              </w:rPr>
              <w:t>2026年Q3</w:t>
            </w:r>
          </w:p>
        </w:tc>
      </w:tr>
    </w:tbl>
    <w:p w14:paraId="4BA0670F">
      <w:pPr>
        <w:pStyle w:val="28"/>
        <w:bidi w:val="0"/>
        <w:rPr>
          <w:rFonts w:hint="default"/>
          <w:lang w:val="en-US" w:eastAsia="zh-CN"/>
        </w:rPr>
      </w:pPr>
      <w:bookmarkStart w:id="11" w:name="_Toc31944"/>
      <w:r>
        <w:rPr>
          <w:rFonts w:hint="default"/>
          <w:lang w:val="en-US" w:eastAsia="zh-CN"/>
        </w:rPr>
        <w:t>结论与建议</w:t>
      </w:r>
      <w:bookmarkEnd w:id="11"/>
    </w:p>
    <w:p w14:paraId="793DE9F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结论：报告期内，项目服务可用性与连续性管理体系运行有效，所有预设管理目标均已达成或超额达成。通过主动监控、及时响应和定期演练，有效保障了服务的稳定运行，并验证了应对重大中断及灾难事件的恢复能力。</w:t>
      </w:r>
    </w:p>
    <w:p w14:paraId="39D8EA6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建议：</w:t>
      </w:r>
    </w:p>
    <w:p w14:paraId="34A16B5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持续关注并落实第六部分的改进计划，重点加强备用环境的配置管理。</w:t>
      </w:r>
    </w:p>
    <w:p w14:paraId="22863F6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建议在2026年将业务连续性意识培训范围扩大至项目全体成员及相关业务方联系人。</w:t>
      </w:r>
    </w:p>
    <w:p w14:paraId="57F8038E">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本报告应作为项目服务质量的重要记录，提交甲方审阅备案。</w:t>
      </w:r>
    </w:p>
    <w:sectPr>
      <w:headerReference r:id="rId7" w:type="first"/>
      <w:footerReference r:id="rId10" w:type="first"/>
      <w:headerReference r:id="rId5" w:type="default"/>
      <w:footerReference r:id="rId8" w:type="default"/>
      <w:headerReference r:id="rId6" w:type="even"/>
      <w:footerReference r:id="rId9" w:type="even"/>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E1B967"/>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B962D"/>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4C73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F346BC">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重庆市鹧鸪哨信息技术有限责任公司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358D9"/>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45901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369BFA7"/>
    <w:multiLevelType w:val="singleLevel"/>
    <w:tmpl w:val="9369BFA7"/>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92850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482</Words>
  <Characters>567</Characters>
  <Lines>0</Lines>
  <Paragraphs>0</Paragraphs>
  <TotalTime>0</TotalTime>
  <ScaleCrop>false</ScaleCrop>
  <LinksUpToDate>false</LinksUpToDate>
  <CharactersWithSpaces>614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2026-07-01T09:07:22Z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eyJoZGlkIjoiMDY5NmFjMmM4ZTljMGJiZDAxN2JmYTc0NGI0NmFiNDgiLCJ1c2VySWQiOiIxMDc1MzgyOSJ9</vt:lpwstr>
  </property>
</Properties>
</file>