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A0E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1528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6AB042E4">
      <w:pPr>
        <w:pStyle w:val="33"/>
        <w:bidi w:val="0"/>
        <w:rPr>
          <w:rFonts w:hint="default"/>
          <w:lang w:val="en-US" w:eastAsia="zh-CN"/>
        </w:rPr>
      </w:pPr>
      <w:bookmarkStart w:id="2" w:name="_Toc9660"/>
      <w:r>
        <w:rPr>
          <w:rFonts w:hint="eastAsia"/>
          <w:lang w:val="en-US" w:eastAsia="zh-CN"/>
        </w:rPr>
        <w:t>中国广电重庆BOSS系统存储维保项目-年度总结报告</w:t>
      </w:r>
      <w:bookmarkEnd w:id="2"/>
    </w:p>
    <w:p w14:paraId="30C29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文件编号：ZGS-09-07</w:t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8F2C3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93A23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8E9B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5C826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0FC30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E20C6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05BB8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F8887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18226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</w:tbl>
    <w:p w14:paraId="533D232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57279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0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467635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99E07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A00B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DE264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4D80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A92FB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5F5C3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 w14:paraId="19410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1A0BB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1236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215E3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4E7371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EE9AC7F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459FEC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4E4000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2E541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A210259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9DC891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66CCBC7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79F152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E83A2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58C8AD70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CF61C1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3728D27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BCDEF00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2B7051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B4DAB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24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211078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3" w:name="heading_2"/>
          <w:r>
            <w:rPr>
              <w:rFonts w:ascii="宋体" w:hAnsi="宋体" w:eastAsia="宋体"/>
              <w:sz w:val="21"/>
            </w:rPr>
            <w:t>目录</w:t>
          </w:r>
        </w:p>
        <w:p w14:paraId="50B095C1">
          <w:pPr>
            <w:pStyle w:val="18"/>
            <w:tabs>
              <w:tab w:val="right" w:leader="dot" w:pos="8306"/>
            </w:tabs>
          </w:pPr>
          <w:bookmarkStart w:id="50" w:name="_GoBack"/>
          <w:bookmarkEnd w:id="50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_Toc15286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_Toc15286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E9CAC6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_Toc9660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中国广电重庆BOSS系统存储维保项目-年度总结报告</w:t>
          </w:r>
          <w:r>
            <w:tab/>
          </w:r>
          <w:r>
            <w:fldChar w:fldCharType="begin"/>
          </w:r>
          <w:r>
            <w:instrText xml:space="preserve"> PAGEREF _Toc9660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CBC719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_Toc28281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_Toc28281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1E866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_Toc15624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_Toc15624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6FED1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_Toc24437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年度服务执行情况</w:t>
          </w:r>
          <w:r>
            <w:tab/>
          </w:r>
          <w:r>
            <w:fldChar w:fldCharType="begin"/>
          </w:r>
          <w:r>
            <w:instrText xml:space="preserve"> PAGEREF _Toc24437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B4159F6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_Toc29841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_Toc29841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B0E31D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服务执行统计</w:t>
          </w:r>
          <w:r>
            <w:tab/>
          </w:r>
          <w:r>
            <w:fldChar w:fldCharType="begin"/>
          </w:r>
          <w:r>
            <w:instrText xml:space="preserve"> PAGEREF _Toc3079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DC2FEF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_Toc7544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各阶段主要交付物</w:t>
          </w:r>
          <w:r>
            <w:tab/>
          </w:r>
          <w:r>
            <w:fldChar w:fldCharType="begin"/>
          </w:r>
          <w:r>
            <w:instrText xml:space="preserve"> PAGEREF _Toc7544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F41E2A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_Toc3352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年度SLA指标达成情况</w:t>
          </w:r>
          <w:r>
            <w:tab/>
          </w:r>
          <w:r>
            <w:fldChar w:fldCharType="begin"/>
          </w:r>
          <w:r>
            <w:instrText xml:space="preserve"> PAGEREF _Toc3352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CF4ADD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_Toc4109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</w:t>
          </w:r>
          <w:r>
            <w:tab/>
          </w:r>
          <w:r>
            <w:fldChar w:fldCharType="begin"/>
          </w:r>
          <w:r>
            <w:instrText xml:space="preserve"> PAGEREF _Toc4109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BA93B6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_Toc6304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_Toc6304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19D90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_Toc30148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年度主要工作成果</w:t>
          </w:r>
          <w:r>
            <w:tab/>
          </w:r>
          <w:r>
            <w:fldChar w:fldCharType="begin"/>
          </w:r>
          <w:r>
            <w:instrText xml:space="preserve"> PAGEREF _Toc30148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3BA93F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_Toc14385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机房环境稳定性保障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0CA0A4B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_Toc26636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_Toc26636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F9FF60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_Toc9472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安防审计有效性</w:t>
          </w:r>
          <w:r>
            <w:tab/>
          </w:r>
          <w:r>
            <w:fldChar w:fldCharType="begin"/>
          </w:r>
          <w:r>
            <w:instrText xml:space="preserve"> PAGEREF _Toc9472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99D9B9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_Toc12998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应急响应能力验证</w:t>
          </w:r>
          <w:r>
            <w:tab/>
          </w:r>
          <w:r>
            <w:fldChar w:fldCharType="begin"/>
          </w:r>
          <w:r>
            <w:instrText xml:space="preserve"> PAGEREF _Toc12998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FC35505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_Toc32001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_Toc32001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451AB3A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_Toc16221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客户满意度</w:t>
          </w:r>
          <w:r>
            <w:tab/>
          </w:r>
          <w:r>
            <w:fldChar w:fldCharType="begin"/>
          </w:r>
          <w:r>
            <w:instrText xml:space="preserve"> PAGEREF _Toc16221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E62E30F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_Toc25102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交付物归档</w:t>
          </w:r>
          <w:r>
            <w:tab/>
          </w:r>
          <w:r>
            <w:fldChar w:fldCharType="begin"/>
          </w:r>
          <w:r>
            <w:instrText xml:space="preserve"> PAGEREF _Toc25102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865C1B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_Toc5596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_Toc5596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76102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_Toc23356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下年度工作建议</w:t>
          </w:r>
          <w:r>
            <w:tab/>
          </w:r>
          <w:r>
            <w:fldChar w:fldCharType="begin"/>
          </w:r>
          <w:r>
            <w:instrText xml:space="preserve"> PAGEREF _Toc23356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539018B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服务延续建议</w:t>
          </w:r>
          <w:r>
            <w:tab/>
          </w:r>
          <w:r>
            <w:fldChar w:fldCharType="begin"/>
          </w:r>
          <w:r>
            <w:instrText xml:space="preserve"> PAGEREF _Toc2931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B162B07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_Toc20925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技术提升建议</w:t>
          </w:r>
          <w:r>
            <w:tab/>
          </w:r>
          <w:r>
            <w:fldChar w:fldCharType="begin"/>
          </w:r>
          <w:r>
            <w:instrText xml:space="preserve"> PAGEREF _Toc20925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9F0773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_Toc12863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管理优化建议</w:t>
          </w:r>
          <w:r>
            <w:tab/>
          </w:r>
          <w:r>
            <w:fldChar w:fldCharType="begin"/>
          </w:r>
          <w:r>
            <w:instrText xml:space="preserve"> PAGEREF _Toc12863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CF23DF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_Toc3595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_Toc3595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A5DF10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D75E8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BD4DB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B6713CD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281"/>
      <w:r>
        <w:t>报告目的</w:t>
      </w:r>
      <w:bookmarkEnd w:id="3"/>
      <w:bookmarkEnd w:id="4"/>
    </w:p>
    <w:p w14:paraId="0E2BA2A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全面总结中国广电重庆网络股份有限公司（以下简称“甲方”）存储维保项目在2025年1月1日至2025年12月31日全年的服务交付情况，包括服务内容执行、SLA指标达成、主要工作成果、存在问题及改进建议，为项目最终验收和下一年度服务提供参考依据。</w:t>
      </w:r>
    </w:p>
    <w:p w14:paraId="493B4748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3"/>
      <w:bookmarkStart w:id="6" w:name="_Toc15624"/>
      <w:r>
        <w:t>项目概述</w:t>
      </w:r>
      <w:bookmarkEnd w:id="5"/>
      <w:bookmarkEnd w:id="6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85"/>
        <w:gridCol w:w="6765"/>
      </w:tblGrid>
      <w:tr w14:paraId="3B00A6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F072E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项目名称</w:t>
            </w:r>
          </w:p>
        </w:tc>
        <w:tc>
          <w:tcPr>
            <w:tcW w:w="67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21A6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</w:t>
            </w:r>
          </w:p>
        </w:tc>
      </w:tr>
      <w:tr w14:paraId="46456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36450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9704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2025年1月至2025年12月31日</w:t>
            </w:r>
          </w:p>
        </w:tc>
      </w:tr>
      <w:tr w14:paraId="11261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83F9B3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报告周期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AE999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2025年1月1日至2025年12月31日（全年）</w:t>
            </w:r>
          </w:p>
        </w:tc>
      </w:tr>
      <w:tr w14:paraId="35536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BB627A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服务对象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BA903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甲方产权所有的托管设备（共计6台）</w:t>
            </w:r>
          </w:p>
        </w:tc>
      </w:tr>
      <w:tr w14:paraId="45F5E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574A1F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服务模式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54B97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远程监控 + 远程运维 + 现场运维</w:t>
            </w:r>
          </w:p>
        </w:tc>
      </w:tr>
      <w:tr w14:paraId="62264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D09156">
            <w:pPr>
              <w:pStyle w:val="46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合同金额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D3F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37,000.00元</w:t>
            </w:r>
          </w:p>
        </w:tc>
      </w:tr>
    </w:tbl>
    <w:p w14:paraId="0FA6533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" w:name="heading_4"/>
      <w:r>
        <w:t>托管设备清单</w:t>
      </w:r>
      <w:bookmarkEnd w:id="7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463"/>
        <w:gridCol w:w="2350"/>
        <w:gridCol w:w="3074"/>
        <w:gridCol w:w="647"/>
      </w:tblGrid>
      <w:tr w14:paraId="33582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E844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D9AC8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设备类别</w:t>
            </w:r>
          </w:p>
        </w:tc>
        <w:tc>
          <w:tcPr>
            <w:tcW w:w="23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2E1CA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品牌型号</w:t>
            </w:r>
          </w:p>
        </w:tc>
        <w:tc>
          <w:tcPr>
            <w:tcW w:w="30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1037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序列号</w:t>
            </w:r>
          </w:p>
        </w:tc>
        <w:tc>
          <w:tcPr>
            <w:tcW w:w="6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BE34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U数</w:t>
            </w:r>
          </w:p>
        </w:tc>
      </w:tr>
      <w:tr w14:paraId="05031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E8D7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925F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B481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D0F0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6099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3BD58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797D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E69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E05F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0F5F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586C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4CFFE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6382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B796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808B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C807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J80003N6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C8A1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69CC6F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DEF9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F04CD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A037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6F09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J8003MZ2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36B7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331CB0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D6A1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3768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C9C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F056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J80003N3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7FCF1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2622CA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C5BD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268E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备份服务器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FD6A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HP DL388 GEN9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4874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CN77160FZY2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047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</w:tbl>
    <w:p w14:paraId="2A9CB6C4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24437"/>
      <w:r>
        <w:t>年度服务执行情况</w:t>
      </w:r>
      <w:bookmarkEnd w:id="8"/>
      <w:bookmarkEnd w:id="9"/>
    </w:p>
    <w:p w14:paraId="19187D8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6"/>
      <w:bookmarkStart w:id="11" w:name="_Toc29841"/>
      <w:r>
        <w:t>项目阶段完成情况</w:t>
      </w:r>
      <w:bookmarkEnd w:id="10"/>
      <w:bookmarkEnd w:id="11"/>
    </w:p>
    <w:p w14:paraId="2504A8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D98454E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根据《交付计划》（ZGS-09-03），全年四个阶段均已按期完成：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6"/>
        <w:gridCol w:w="2170"/>
        <w:gridCol w:w="3000"/>
        <w:gridCol w:w="1134"/>
      </w:tblGrid>
      <w:tr w14:paraId="4C88B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1A9AE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1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4AEF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3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1CC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核心工作</w:t>
            </w:r>
          </w:p>
        </w:tc>
        <w:tc>
          <w:tcPr>
            <w:tcW w:w="11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41CA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3D7F6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1E70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阶段一：项目启动与初始化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DA7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4B244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需求确认、团队组建、工具部署、首次健康检查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1111F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2DFAED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E5C3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阶段二：稳定运维与服务磨合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3E5B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2025年2-4月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FF57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日常运维、知识库建立、首次安防审计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AA42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6745D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E3ECF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阶段三：深度巡检与优化提升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2C31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2025年5-9月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919D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硬件深度巡检、安防审计优化、应急演练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FDA6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675A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39FC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阶段四：全面总结与收尾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276E3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2025年10-12月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E565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全面巡检、年度总结、服务改进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11E7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1381488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7"/>
      <w:bookmarkStart w:id="13" w:name="_Toc3079"/>
      <w:r>
        <w:t>服务执行统计</w:t>
      </w:r>
      <w:bookmarkEnd w:id="12"/>
      <w:bookmarkEnd w:id="13"/>
    </w:p>
    <w:p w14:paraId="65885BF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全年共处理服务事件55次，具体分类统计如下：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20"/>
        <w:gridCol w:w="1714"/>
        <w:gridCol w:w="2116"/>
      </w:tblGrid>
      <w:tr w14:paraId="32D3B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B680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17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15E9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次数</w:t>
            </w:r>
          </w:p>
        </w:tc>
        <w:tc>
          <w:tcPr>
            <w:tcW w:w="2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0FEEE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占比</w:t>
            </w:r>
          </w:p>
        </w:tc>
      </w:tr>
      <w:tr w14:paraId="3D8EE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DE27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硬件故障协助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BB597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C68F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3.6%</w:t>
            </w:r>
          </w:p>
        </w:tc>
      </w:tr>
      <w:tr w14:paraId="5A2AD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DA899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FB8E2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E67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1.8%</w:t>
            </w:r>
          </w:p>
        </w:tc>
      </w:tr>
      <w:tr w14:paraId="1C59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37A3C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硬件状态巡检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E7729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6DCF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254636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7F0D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安防审计检查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373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90A7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435C0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1109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咨询及现场支持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2F80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788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51.0%</w:t>
            </w:r>
          </w:p>
        </w:tc>
      </w:tr>
      <w:tr w14:paraId="7E8F68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F2E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A1F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7C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</w:tr>
    </w:tbl>
    <w:p w14:paraId="42323CC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8"/>
      <w:bookmarkStart w:id="15" w:name="_Toc7544"/>
      <w:r>
        <w:t>各阶段主要交付物</w:t>
      </w:r>
      <w:bookmarkEnd w:id="14"/>
      <w:bookmarkEnd w:id="15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6"/>
        <w:gridCol w:w="5600"/>
        <w:gridCol w:w="1544"/>
      </w:tblGrid>
      <w:tr w14:paraId="7EA43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5AD15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56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ECE7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主要交付物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ECF9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确认状态</w:t>
            </w:r>
          </w:p>
        </w:tc>
      </w:tr>
      <w:tr w14:paraId="0081B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60841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8094B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《运维服务需求清单》《设备健康检查报告》《交付方案》《交付计划》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5A87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32060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3FFD0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75BE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《运维服务质量月报》（2-4月）、《硬件巡检记录单》、《安防审计检查记录》、《运维服务验收报告（阶段二）》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AB46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4A883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B4538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8589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《硬件健康检查报告》《安防审计优化记录》《应急演练报告》《运维服务验收报告（阶段三）》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FBC6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7BB19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948D3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8EEA8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《设备全面巡检报告》《服务改进报告》《运维服务年度总结报告》《运维服务验收报告（年度）》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1E726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</w:tbl>
    <w:p w14:paraId="19F5695D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9"/>
      <w:bookmarkStart w:id="17" w:name="_Toc3352"/>
      <w:r>
        <w:t>年度SLA指标达成情况</w:t>
      </w:r>
      <w:bookmarkEnd w:id="16"/>
      <w:bookmarkEnd w:id="17"/>
    </w:p>
    <w:p w14:paraId="3A85C666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0"/>
      <w:bookmarkStart w:id="19" w:name="_Toc4109"/>
      <w:r>
        <w:t>整体达成情况</w:t>
      </w:r>
      <w:bookmarkEnd w:id="18"/>
      <w:bookmarkEnd w:id="19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73"/>
        <w:gridCol w:w="1792"/>
        <w:gridCol w:w="1792"/>
        <w:gridCol w:w="1793"/>
      </w:tblGrid>
      <w:tr w14:paraId="595BD2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8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70F9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6A84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B340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44DB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47A39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523E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B8DC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60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6E87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20A74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A28D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6B4F6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D4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295DC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79EAA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AB10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7D7F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47D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EC446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 w14:paraId="1565F850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1"/>
      <w:bookmarkStart w:id="21" w:name="_Toc6304"/>
      <w:r>
        <w:t>月度SLA明细</w:t>
      </w:r>
      <w:bookmarkEnd w:id="20"/>
      <w:bookmarkEnd w:id="21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14"/>
        <w:gridCol w:w="2127"/>
        <w:gridCol w:w="1591"/>
        <w:gridCol w:w="2127"/>
        <w:gridCol w:w="1591"/>
      </w:tblGrid>
      <w:tr w14:paraId="79F9B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C9F3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8D8D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43CC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800C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97D6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 w14:paraId="77B77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E5F7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BE7A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2F3C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EEE8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2B7F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</w:tr>
      <w:tr w14:paraId="4B988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0B15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84E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7B58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BE03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FB71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7C432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38830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31B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ED82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6EAA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883A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31B62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F25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12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1F8A7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6879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F802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</w:tr>
      <w:tr w14:paraId="34A11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7412F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BD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8024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AFEA8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97FCC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745C6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F382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01B9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C7F8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2A849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A1F41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07B1D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6220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1D0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0201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FBEEB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12BBF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0850F3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41A63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11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0738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7B10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EF3B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7226C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4368E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62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0EED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7C57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CA9D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09839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51C7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59A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40E61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D2F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5001C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1C82D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2ADF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424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606B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965E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249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4C18E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422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BAB3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05C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4A9A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BD62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50EA9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B24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全年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79C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729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E3F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E8B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</w:tr>
    </w:tbl>
    <w:p w14:paraId="4646ADDE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注：4月因计划内电力维护进行了一次短暂切换，已提前通知甲方并获得同意，未计入不可用时间。</w:t>
      </w:r>
    </w:p>
    <w:p w14:paraId="5CBBF6C8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2"/>
      <w:bookmarkStart w:id="23" w:name="_Toc30148"/>
      <w:r>
        <w:t>年度主要工作成果</w:t>
      </w:r>
      <w:bookmarkEnd w:id="22"/>
      <w:bookmarkEnd w:id="23"/>
    </w:p>
    <w:p w14:paraId="61479BF2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3"/>
      <w:bookmarkStart w:id="25" w:name="_Toc14385"/>
      <w:r>
        <w:t>机房环境稳定性保障</w:t>
      </w:r>
      <w:bookmarkEnd w:id="24"/>
      <w:bookmarkEnd w:id="25"/>
    </w:p>
    <w:p w14:paraId="2137070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机房环境整体运行稳定，未发生计划外中断。4月份计划内电力维护已提前2周通知甲方，并顺利完成切换。9月份空调温度瞬时偏高问题已通过优化监控阈值解决，彻底消除同类短时环境波动问题，全面保障机房设备恒温恒湿稳定运行环境。</w:t>
      </w:r>
    </w:p>
    <w:p w14:paraId="1AB266B9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4"/>
      <w:bookmarkStart w:id="27" w:name="_Toc26636"/>
      <w:r>
        <w:t>硬件健康管理</w:t>
      </w:r>
      <w:bookmarkEnd w:id="26"/>
      <w:bookmarkEnd w:id="27"/>
    </w:p>
    <w:p w14:paraId="1DF3B1AC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通过每月常态化硬件巡检、季度抽查及年度深度巡检，全方位监测6台托管设备运行状态，及时排查、预警并处理硬件隐患，全年未发生硬件重大故障，设备整体运行稳定：</w:t>
      </w:r>
    </w:p>
    <w:p w14:paraId="3DA6723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3月发现一台超融合节点磁盘使用率超过85%，第一时间反馈甲方，协助完成扩容规划，规避存储爆满风险；</w:t>
      </w:r>
    </w:p>
    <w:p w14:paraId="30B8A67E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5月发现备份服务器硬盘SMART告警，快速响应并协助甲方联系厂商完成硬件检测与更换，保障备份系统正常运行；</w:t>
      </w:r>
    </w:p>
    <w:p w14:paraId="5EC2EC26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年末全面核验所有托管设备磁盘、内存、电源等核心硬件状态，设备整体健康状态优良。</w:t>
      </w:r>
    </w:p>
    <w:p w14:paraId="018FC5CC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5"/>
      <w:bookmarkStart w:id="29" w:name="_Toc9472"/>
      <w:r>
        <w:t>安防审计有效性</w:t>
      </w:r>
      <w:bookmarkEnd w:id="28"/>
      <w:bookmarkEnd w:id="29"/>
    </w:p>
    <w:p w14:paraId="65196108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全年常态化落实安防审计工作，筑牢项目安全防线：</w:t>
      </w:r>
    </w:p>
    <w:p w14:paraId="3E33D70C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数据库审计和日志审计系统全年稳定运行，审计日志完整、可追溯，满足合规运维要求；</w:t>
      </w:r>
    </w:p>
    <w:p w14:paraId="55A6275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8月完成安防审计规则专项优化，精准过滤无效告警，审计误报率较上半年降低约25%，大幅提升审计工作效率；</w:t>
      </w:r>
    </w:p>
    <w:p w14:paraId="64A5FA2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全年无异常访问、数据泄露、安全攻击等安全事件发生，项目安防态势稳定可控。</w:t>
      </w:r>
    </w:p>
    <w:p w14:paraId="040A334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6"/>
      <w:bookmarkStart w:id="31" w:name="_Toc12998"/>
      <w:r>
        <w:t>应急响应能力验证</w:t>
      </w:r>
      <w:bookmarkEnd w:id="30"/>
      <w:bookmarkEnd w:id="31"/>
    </w:p>
    <w:p w14:paraId="7E63B28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为完善应急处置体系，提升突发故障处置能力，9月组织开展机房电力中断场景应急演练，全面验证应急预案可行性与团队实操能力：</w:t>
      </w:r>
    </w:p>
    <w:p w14:paraId="610EC56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应急响应启动时间：12分钟，优于既定15分钟目标时效；</w:t>
      </w:r>
    </w:p>
    <w:p w14:paraId="08A3284C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电力故障恢复时间：35分钟，远优于2小时处置目标；</w:t>
      </w:r>
    </w:p>
    <w:p w14:paraId="2AE6EF0A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演练完成后，结合实操问题优化应急通讯录、24小时值班排班机制，进一步完善应急处置流程，提升团队应急处置标准化、高效化水平。</w:t>
      </w:r>
    </w:p>
    <w:p w14:paraId="236AD0E1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7"/>
      <w:bookmarkStart w:id="33" w:name="_Toc32001"/>
      <w:r>
        <w:t>服务知识建设</w:t>
      </w:r>
      <w:bookmarkEnd w:id="32"/>
      <w:bookmarkEnd w:id="33"/>
    </w:p>
    <w:p w14:paraId="57DF396F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全年持续推进项目知识库搭建与更新，沉淀标准化运维经验，助力高效运维与甲方自助查询：</w:t>
      </w:r>
    </w:p>
    <w:p w14:paraId="28187C49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全年累计录入知识库</w:t>
      </w:r>
      <w:r>
        <w:rPr>
          <w:rFonts w:hint="eastAsia"/>
          <w:lang w:val="en-US" w:eastAsia="zh-CN"/>
        </w:rPr>
        <w:t>43</w:t>
      </w:r>
      <w:r>
        <w:t>条，</w:t>
      </w:r>
      <w:r>
        <w:rPr>
          <w:rFonts w:hint="eastAsia"/>
          <w:lang w:val="en-US" w:eastAsia="zh-CN"/>
        </w:rPr>
        <w:t>服务知识</w:t>
      </w:r>
      <w:r>
        <w:t>已向甲方开放查询权限。</w:t>
      </w:r>
    </w:p>
    <w:p w14:paraId="6482838E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知识库已对甲方开放查询权限，实现运维经验共享、常见问题自助解决，提升双方工作效率。</w:t>
      </w:r>
    </w:p>
    <w:p w14:paraId="1E0D396D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8"/>
      <w:bookmarkStart w:id="35" w:name="_Toc16221"/>
      <w:r>
        <w:t>客户满意度</w:t>
      </w:r>
      <w:bookmarkEnd w:id="34"/>
      <w:bookmarkEnd w:id="35"/>
    </w:p>
    <w:p w14:paraId="3E021EA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全年分阶段开展客户满意度调研，全面核验服务质量，各</w:t>
      </w:r>
      <w:r>
        <w:rPr>
          <w:rFonts w:hint="eastAsia"/>
          <w:lang w:val="en-US" w:eastAsia="zh-CN"/>
        </w:rPr>
        <w:t>季度</w:t>
      </w:r>
      <w:r>
        <w:t>评分均高于既定考核标准，服务获得甲方认可</w:t>
      </w:r>
      <w:r>
        <w:rPr>
          <w:rFonts w:hint="eastAsia"/>
          <w:lang w:eastAsia="zh-CN"/>
        </w:rPr>
        <w:t>。</w:t>
      </w:r>
    </w:p>
    <w:p w14:paraId="5D5E407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9"/>
      <w:bookmarkStart w:id="37" w:name="_Toc25102"/>
      <w:r>
        <w:t>交付物归档</w:t>
      </w:r>
      <w:bookmarkEnd w:id="36"/>
      <w:bookmarkEnd w:id="37"/>
    </w:p>
    <w:p w14:paraId="5CD53F2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全年严格按照项目交付规范，完成所有服务文档的整理、审核、分类归档工作，全程可追溯、可核验。全年累计形成标准化交付文档40余份，具体分类如下：</w:t>
      </w:r>
    </w:p>
    <w:p w14:paraId="2F84A8AC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启动阶段：3份</w:t>
      </w:r>
    </w:p>
    <w:p w14:paraId="4D681CF2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策划阶段：1份</w:t>
      </w:r>
    </w:p>
    <w:p w14:paraId="0F29B6C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实施阶段：20余份（含过程记录单、服务确认单等过程资料）</w:t>
      </w:r>
    </w:p>
    <w:p w14:paraId="72B3A431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检查阶段：12份（月度质量月报、阶段验收报告等）</w:t>
      </w:r>
    </w:p>
    <w:p w14:paraId="2BDF26D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改进阶段：3份</w:t>
      </w:r>
    </w:p>
    <w:p w14:paraId="799C2ED6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所有交付物统一归档至阿里云企业云盘，归档规范、完整，满足项目验收及溯源要求。</w:t>
      </w:r>
    </w:p>
    <w:p w14:paraId="75CE888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0"/>
      <w:bookmarkStart w:id="39" w:name="_Toc5596"/>
      <w:r>
        <w:t>存在问题与改进措施</w:t>
      </w:r>
      <w:bookmarkEnd w:id="38"/>
      <w:bookmarkEnd w:id="39"/>
    </w:p>
    <w:tbl>
      <w:tblPr>
        <w:tblStyle w:val="23"/>
        <w:tblW w:w="92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4"/>
        <w:gridCol w:w="737"/>
        <w:gridCol w:w="3386"/>
        <w:gridCol w:w="1723"/>
        <w:gridCol w:w="960"/>
      </w:tblGrid>
      <w:tr w14:paraId="74E1BA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EAFA9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7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8717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33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A9CF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C9AB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9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BC32A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2C2911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6D31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4月计划内电力维护切换（已提前通知）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257A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ED4A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优化通知机制，提前2周正式书面通知甲方，同步确认对接事宜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FF05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B6E7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6510E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C9AF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硬件巡检记录格式不统一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45A5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58E4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统一标准化巡检记录模板，纳入知识库常态化使用，规范填报要求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D19A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E9BF3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5F9B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55B8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安防审计告警存在少量误报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0EFA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9BF0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持续迭代优化审计规则，精准过滤无效告警，降低误报率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A2CB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865D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31C64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7EFAC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9月机房环境短暂波动（空调温度瞬时偏高）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3CA4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AAE4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优化空调监控阈值，增设多级预警机制，提前预判环境波动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9560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05C7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F35C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7C4F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应急演练中发现通讯录未包含全部值班人员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02B5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4DC3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全面更新应急通讯录，补齐所有值班人员信息，完善24小时值班联系方式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9A58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BFB0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23130A7F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1"/>
      <w:bookmarkStart w:id="41" w:name="_Toc23356"/>
      <w:r>
        <w:t>下年度工作建议</w:t>
      </w:r>
      <w:bookmarkEnd w:id="40"/>
      <w:bookmarkEnd w:id="41"/>
    </w:p>
    <w:p w14:paraId="31A3CDF6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2"/>
      <w:bookmarkStart w:id="43" w:name="_Toc2931"/>
      <w:r>
        <w:t>服务延续建议</w:t>
      </w:r>
      <w:bookmarkEnd w:id="42"/>
      <w:bookmarkEnd w:id="43"/>
    </w:p>
    <w:p w14:paraId="0DEFD328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续签准备：结合本年度服务交付情况及甲方运维需求，提前筹备2026年度运维服务方案、报价及服务细则，保障服务无缝衔接。</w:t>
      </w:r>
    </w:p>
    <w:p w14:paraId="4CA41846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服务优化：在稳固现有全项SLA达标成果的基础上，进一步压缩故障响应、处置时长，全方位提升服务精细化水平。</w:t>
      </w:r>
    </w:p>
    <w:p w14:paraId="3E8BF238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成本控制：优化巡检频次与运维工作模式，整合重复性工作，提升运维效率，在保障服务质量的前提下实现降本增效。</w:t>
      </w:r>
    </w:p>
    <w:p w14:paraId="6CF07E0A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3"/>
      <w:bookmarkStart w:id="45" w:name="_Toc20925"/>
      <w:r>
        <w:t>技术提升建议</w:t>
      </w:r>
      <w:bookmarkEnd w:id="44"/>
      <w:bookmarkEnd w:id="45"/>
    </w:p>
    <w:p w14:paraId="40F22E30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监控优化：持续迭代机房环境、硬件设备监控阈值，优化监控策略，彻底减少系统误报、漏报问题，实现精准监控。</w:t>
      </w:r>
    </w:p>
    <w:p w14:paraId="3B0F727C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自动化提升：探索巡检数据自动统计、报告自动生成功能，减少人工操作，降低人为失误，提升运维工作智能化水平。</w:t>
      </w:r>
    </w:p>
    <w:p w14:paraId="5CCEA2D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知识库深化：持续丰富知识库内容，新增故障典型案例、专项运维方案等内容，优化查询分类，强化甲方自助运维能力。</w:t>
      </w:r>
    </w:p>
    <w:p w14:paraId="2DC0C50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4"/>
      <w:bookmarkStart w:id="47" w:name="_Toc12863"/>
      <w:r>
        <w:t>管理优化建议</w:t>
      </w:r>
      <w:bookmarkEnd w:id="46"/>
      <w:bookmarkEnd w:id="47"/>
    </w:p>
    <w:p w14:paraId="4F710AD2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定期复盘：持续沿用月度报告、季度复盘工作机制，常态化收集甲方反馈意见，动态优化服务内容。</w:t>
      </w:r>
    </w:p>
    <w:p w14:paraId="08C8A6BE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应急演练常态化：建立半年一次的常态化应急演练机制，覆盖电力、网络、硬件故障等多场景，持续校验、优化应急预案。</w:t>
      </w:r>
    </w:p>
    <w:p w14:paraId="3CD4CE65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主动运维：深度挖掘监控数据、巡检数据，通过数据分析预判设备潜在故障，从被动处置转向主动预防运维。</w:t>
      </w:r>
    </w:p>
    <w:p w14:paraId="53D39C4A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5"/>
      <w:bookmarkStart w:id="49" w:name="_Toc3595"/>
      <w:r>
        <w:t>附件</w:t>
      </w:r>
      <w:bookmarkEnd w:id="48"/>
      <w:bookmarkEnd w:id="49"/>
    </w:p>
    <w:p w14:paraId="71B2E815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附件1：《运维服务需求清单》</w:t>
      </w:r>
    </w:p>
    <w:p w14:paraId="0619F397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附件2：《设备健康检查报告》</w:t>
      </w:r>
    </w:p>
    <w:p w14:paraId="1205FA9F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附件3：《运维服务质量月报》（1-12月，共12份）</w:t>
      </w:r>
    </w:p>
    <w:p w14:paraId="53A3F584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附件4：《硬件巡检记录单》（1-12月，共12份）</w:t>
      </w:r>
    </w:p>
    <w:p w14:paraId="277E9C6F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附件5：《安防审计检查记录》（1-12月，共12份）</w:t>
      </w:r>
    </w:p>
    <w:p w14:paraId="543E3232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附件6：《硬件健康检查报告》</w:t>
      </w:r>
    </w:p>
    <w:p w14:paraId="32DCF1C2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附件7：《应急演练方案及演练报告》</w:t>
      </w:r>
    </w:p>
    <w:p w14:paraId="1A134136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附件8：《设备全面巡检报告》</w:t>
      </w:r>
    </w:p>
    <w:p w14:paraId="2AE8575E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附件9：《客户满意度调查表》（阶段二、阶段三、年度）</w:t>
      </w:r>
    </w:p>
    <w:p w14:paraId="73029C50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附件10：《服务改进建议清单》</w:t>
      </w:r>
    </w:p>
    <w:p w14:paraId="41D2CF67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附件11：《服务改进报告》</w:t>
      </w:r>
    </w:p>
    <w:p w14:paraId="6361D636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eastAsia="zh-CN"/>
        </w:rPr>
      </w:pPr>
      <w:r>
        <w:t>附件12：《运维服务验收报告》（阶段二、阶段三、年度）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9"/>
      <w:pgMar w:top="1440" w:right="1800" w:bottom="1440" w:left="18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208562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1489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71CF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C533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1" w:line="60" w:lineRule="exact"/>
      <w:textAlignment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B86EA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89363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F04901C"/>
    <w:multiLevelType w:val="singleLevel"/>
    <w:tmpl w:val="DF0490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F675542"/>
    <w:multiLevelType w:val="singleLevel"/>
    <w:tmpl w:val="0F6755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BA19B54"/>
    <w:multiLevelType w:val="singleLevel"/>
    <w:tmpl w:val="2BA19B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C296BAA"/>
    <w:multiLevelType w:val="singleLevel"/>
    <w:tmpl w:val="6C296B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07772D10"/>
    <w:rsid w:val="0E0802A4"/>
    <w:rsid w:val="39033D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character" w:styleId="27">
    <w:name w:val="page number"/>
    <w:basedOn w:val="25"/>
    <w:qFormat/>
    <w:uiPriority w:val="0"/>
  </w:style>
  <w:style w:type="character" w:styleId="28">
    <w:name w:val="Emphasis"/>
    <w:basedOn w:val="25"/>
    <w:qFormat/>
    <w:uiPriority w:val="0"/>
    <w:rPr>
      <w:i/>
    </w:rPr>
  </w:style>
  <w:style w:type="paragraph" w:customStyle="1" w:styleId="29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30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文档说明标题"/>
    <w:next w:val="1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52"/>
      <w:szCs w:val="52"/>
      <w:lang w:bidi="ar-SA"/>
    </w:rPr>
  </w:style>
  <w:style w:type="paragraph" w:customStyle="1" w:styleId="32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3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3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1257</Words>
  <Characters>1633</Characters>
  <Lines>0</Lines>
  <Paragraphs>0</Paragraphs>
  <TotalTime>0</TotalTime>
  <ScaleCrop>false</ScaleCrop>
  <LinksUpToDate>false</LinksUpToDate>
  <CharactersWithSpaces>1692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2021-11-05T07:50:00Z</dcterms:created>
  <dc:creator>wa347349</dc:creator>
  <cp:lastModifiedBy>郝宇</cp:lastModifiedBy>
  <dcterms:modified xsi:type="dcterms:W3CDTF">2026-07-01T09:01:47Z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