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8AAD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741"/>
      <w:r>
        <w:rPr>
          <w:rFonts w:hint="eastAsia"/>
          <w:lang w:val="en-US" w:eastAsia="zh-CN"/>
        </w:rPr>
        <w:t>重庆市鹧鸪哨信息技术有限责任公司</w:t>
      </w:r>
      <w:bookmarkEnd w:id="0"/>
    </w:p>
    <w:p w14:paraId="656B604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041"/>
      <w:r>
        <w:rPr>
          <w:rFonts w:hint="eastAsia"/>
          <w:lang w:val="en-US" w:eastAsia="zh-CN"/>
        </w:rPr>
        <w:t>运维服务目录管理制度</w:t>
      </w:r>
      <w:bookmarkEnd w:id="1"/>
    </w:p>
    <w:p w14:paraId="45BC539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文件编号：ZGS-01-01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F934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A0DC8E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4E0A15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97F6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27E6D7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FA0E3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AE61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16A2D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14:paraId="7F0BA7A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E2E1ED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B8994A9">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31CD41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FBC2ED9">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2B1F35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4203F6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1F94B48B">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5DD2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F8875A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449A2BE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EB5AF1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240" w:type="dxa"/>
          </w:tcPr>
          <w:p w14:paraId="183EAE4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宋海滨</w:t>
            </w:r>
          </w:p>
        </w:tc>
      </w:tr>
      <w:tr w14:paraId="4CF45C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D964E9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9D1407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D7D98E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3DD2566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6B040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1F21B4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CB2330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D09EBC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6F7636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D616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13DB89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14F144D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CF8C24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79674E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0DD5F1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C9270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BA6D8F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_Toc15741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_Toc15741 \h </w:instrText>
          </w:r>
          <w:r>
            <w:fldChar w:fldCharType="separate"/>
          </w:r>
          <w:r>
            <w:t>1</w:t>
          </w:r>
          <w:r>
            <w:fldChar w:fldCharType="end"/>
          </w:r>
          <w:r>
            <w:rPr>
              <w:rFonts w:hint="eastAsia" w:ascii="宋体" w:hAnsi="宋体" w:eastAsia="宋体" w:cs="宋体"/>
              <w:szCs w:val="24"/>
            </w:rPr>
            <w:fldChar w:fldCharType="end"/>
          </w:r>
        </w:p>
        <w:p w14:paraId="45A511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_Toc20041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_Toc20041 \h </w:instrText>
          </w:r>
          <w:r>
            <w:fldChar w:fldCharType="separate"/>
          </w:r>
          <w:r>
            <w:t>1</w:t>
          </w:r>
          <w:r>
            <w:fldChar w:fldCharType="end"/>
          </w:r>
          <w:r>
            <w:rPr>
              <w:rFonts w:hint="eastAsia" w:ascii="宋体" w:hAnsi="宋体" w:eastAsia="宋体" w:cs="宋体"/>
              <w:szCs w:val="24"/>
            </w:rPr>
            <w:fldChar w:fldCharType="end"/>
          </w:r>
        </w:p>
        <w:p w14:paraId="3FDF2F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_Toc31471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_Toc31471 \h </w:instrText>
          </w:r>
          <w:r>
            <w:fldChar w:fldCharType="separate"/>
          </w:r>
          <w:r>
            <w:t>5</w:t>
          </w:r>
          <w:r>
            <w:fldChar w:fldCharType="end"/>
          </w:r>
          <w:r>
            <w:rPr>
              <w:rFonts w:hint="eastAsia" w:ascii="宋体" w:hAnsi="宋体" w:eastAsia="宋体" w:cs="宋体"/>
              <w:szCs w:val="24"/>
            </w:rPr>
            <w:fldChar w:fldCharType="end"/>
          </w:r>
        </w:p>
        <w:p w14:paraId="25870C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_Toc22030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_Toc22030 \h </w:instrText>
          </w:r>
          <w:r>
            <w:fldChar w:fldCharType="separate"/>
          </w:r>
          <w:r>
            <w:t>5</w:t>
          </w:r>
          <w:r>
            <w:fldChar w:fldCharType="end"/>
          </w:r>
          <w:r>
            <w:rPr>
              <w:rFonts w:hint="eastAsia" w:ascii="宋体" w:hAnsi="宋体" w:eastAsia="宋体" w:cs="宋体"/>
              <w:szCs w:val="24"/>
            </w:rPr>
            <w:fldChar w:fldCharType="end"/>
          </w:r>
        </w:p>
        <w:p w14:paraId="11C176E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_Toc26345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_Toc26345 \h </w:instrText>
          </w:r>
          <w:r>
            <w:fldChar w:fldCharType="separate"/>
          </w:r>
          <w:r>
            <w:t>5</w:t>
          </w:r>
          <w:r>
            <w:fldChar w:fldCharType="end"/>
          </w:r>
          <w:r>
            <w:rPr>
              <w:rFonts w:hint="eastAsia" w:ascii="宋体" w:hAnsi="宋体" w:eastAsia="宋体" w:cs="宋体"/>
              <w:szCs w:val="24"/>
            </w:rPr>
            <w:fldChar w:fldCharType="end"/>
          </w:r>
        </w:p>
        <w:p w14:paraId="032BE3D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_Toc15711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_Toc15711 \h </w:instrText>
          </w:r>
          <w:r>
            <w:fldChar w:fldCharType="separate"/>
          </w:r>
          <w:r>
            <w:t>5</w:t>
          </w:r>
          <w:r>
            <w:fldChar w:fldCharType="end"/>
          </w:r>
          <w:r>
            <w:rPr>
              <w:rFonts w:hint="eastAsia" w:ascii="宋体" w:hAnsi="宋体" w:eastAsia="宋体" w:cs="宋体"/>
              <w:szCs w:val="24"/>
            </w:rPr>
            <w:fldChar w:fldCharType="end"/>
          </w:r>
        </w:p>
        <w:p w14:paraId="765DE6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_Toc4056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_Toc4056 \h </w:instrText>
          </w:r>
          <w:r>
            <w:fldChar w:fldCharType="separate"/>
          </w:r>
          <w:r>
            <w:t>5</w:t>
          </w:r>
          <w:r>
            <w:fldChar w:fldCharType="end"/>
          </w:r>
          <w:r>
            <w:rPr>
              <w:rFonts w:hint="eastAsia" w:ascii="宋体" w:hAnsi="宋体" w:eastAsia="宋体" w:cs="宋体"/>
              <w:szCs w:val="24"/>
            </w:rPr>
            <w:fldChar w:fldCharType="end"/>
          </w:r>
        </w:p>
        <w:p w14:paraId="6488AC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_Toc1042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总</w:t>
          </w:r>
          <w:bookmarkStart w:id="38" w:name="_GoBack"/>
          <w:r>
            <w:rPr>
              <w:rFonts w:hint="eastAsia"/>
              <w:lang w:val="en-US" w:eastAsia="zh-CN"/>
            </w:rPr>
            <w:t>经理</w:t>
          </w:r>
          <w:bookmarkEnd w:id="38"/>
          <w:r>
            <w:tab/>
          </w:r>
          <w:r>
            <w:fldChar w:fldCharType="begin"/>
          </w:r>
          <w:r>
            <w:instrText xml:space="preserve"> PAGEREF _Toc1042 \h </w:instrText>
          </w:r>
          <w:r>
            <w:fldChar w:fldCharType="separate"/>
          </w:r>
          <w:r>
            <w:t>5</w:t>
          </w:r>
          <w:r>
            <w:fldChar w:fldCharType="end"/>
          </w:r>
          <w:r>
            <w:rPr>
              <w:rFonts w:hint="eastAsia" w:ascii="宋体" w:hAnsi="宋体" w:eastAsia="宋体" w:cs="宋体"/>
              <w:szCs w:val="24"/>
            </w:rPr>
            <w:fldChar w:fldCharType="end"/>
          </w:r>
        </w:p>
        <w:p w14:paraId="0481EF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_Toc23786 </w:instrText>
          </w:r>
          <w:r>
            <w:rPr>
              <w:rFonts w:hint="eastAsia" w:ascii="宋体" w:hAnsi="宋体" w:eastAsia="宋体" w:cs="宋体"/>
              <w:szCs w:val="24"/>
            </w:rPr>
            <w:fldChar w:fldCharType="separate"/>
          </w:r>
          <w:r>
            <w:rPr>
              <w:rFonts w:hint="default"/>
              <w:lang w:val="en-US" w:eastAsia="zh-CN"/>
            </w:rPr>
            <w:t>1.4.2. 管理者代表</w:t>
          </w:r>
          <w:r>
            <w:tab/>
          </w:r>
          <w:r>
            <w:fldChar w:fldCharType="begin"/>
          </w:r>
          <w:r>
            <w:instrText xml:space="preserve"> PAGEREF _Toc23786 \h </w:instrText>
          </w:r>
          <w:r>
            <w:fldChar w:fldCharType="separate"/>
          </w:r>
          <w:r>
            <w:t>6</w:t>
          </w:r>
          <w:r>
            <w:fldChar w:fldCharType="end"/>
          </w:r>
          <w:r>
            <w:rPr>
              <w:rFonts w:hint="eastAsia" w:ascii="宋体" w:hAnsi="宋体" w:eastAsia="宋体" w:cs="宋体"/>
              <w:szCs w:val="24"/>
            </w:rPr>
            <w:fldChar w:fldCharType="end"/>
          </w:r>
        </w:p>
        <w:p w14:paraId="65EDE4C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_Toc2176 </w:instrText>
          </w:r>
          <w:r>
            <w:rPr>
              <w:rFonts w:hint="eastAsia" w:ascii="宋体" w:hAnsi="宋体" w:eastAsia="宋体" w:cs="宋体"/>
              <w:szCs w:val="24"/>
            </w:rPr>
            <w:fldChar w:fldCharType="separate"/>
          </w:r>
          <w:r>
            <w:rPr>
              <w:rFonts w:hint="default"/>
              <w:lang w:val="en-US" w:eastAsia="zh-CN"/>
            </w:rPr>
            <w:t>1.4.3. 运维部</w:t>
          </w:r>
          <w:r>
            <w:tab/>
          </w:r>
          <w:r>
            <w:fldChar w:fldCharType="begin"/>
          </w:r>
          <w:r>
            <w:instrText xml:space="preserve"> PAGEREF _Toc2176 \h </w:instrText>
          </w:r>
          <w:r>
            <w:fldChar w:fldCharType="separate"/>
          </w:r>
          <w:r>
            <w:t>6</w:t>
          </w:r>
          <w:r>
            <w:fldChar w:fldCharType="end"/>
          </w:r>
          <w:r>
            <w:rPr>
              <w:rFonts w:hint="eastAsia" w:ascii="宋体" w:hAnsi="宋体" w:eastAsia="宋体" w:cs="宋体"/>
              <w:szCs w:val="24"/>
            </w:rPr>
            <w:fldChar w:fldCharType="end"/>
          </w:r>
        </w:p>
        <w:p w14:paraId="6E38390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_Toc8019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人力部</w:t>
          </w:r>
          <w:r>
            <w:tab/>
          </w:r>
          <w:r>
            <w:fldChar w:fldCharType="begin"/>
          </w:r>
          <w:r>
            <w:instrText xml:space="preserve"> PAGEREF _Toc8019 \h </w:instrText>
          </w:r>
          <w:r>
            <w:fldChar w:fldCharType="separate"/>
          </w:r>
          <w:r>
            <w:t>6</w:t>
          </w:r>
          <w:r>
            <w:fldChar w:fldCharType="end"/>
          </w:r>
          <w:r>
            <w:rPr>
              <w:rFonts w:hint="eastAsia" w:ascii="宋体" w:hAnsi="宋体" w:eastAsia="宋体" w:cs="宋体"/>
              <w:szCs w:val="24"/>
            </w:rPr>
            <w:fldChar w:fldCharType="end"/>
          </w:r>
        </w:p>
        <w:p w14:paraId="03ECCE2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_Toc6729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_Toc6729 \h </w:instrText>
          </w:r>
          <w:r>
            <w:fldChar w:fldCharType="separate"/>
          </w:r>
          <w:r>
            <w:t>6</w:t>
          </w:r>
          <w:r>
            <w:fldChar w:fldCharType="end"/>
          </w:r>
          <w:r>
            <w:rPr>
              <w:rFonts w:hint="eastAsia" w:ascii="宋体" w:hAnsi="宋体" w:eastAsia="宋体" w:cs="宋体"/>
              <w:szCs w:val="24"/>
            </w:rPr>
            <w:fldChar w:fldCharType="end"/>
          </w:r>
        </w:p>
        <w:p w14:paraId="19FA42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_Toc1672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_Toc1672 \h </w:instrText>
          </w:r>
          <w:r>
            <w:fldChar w:fldCharType="separate"/>
          </w:r>
          <w:r>
            <w:t>6</w:t>
          </w:r>
          <w:r>
            <w:fldChar w:fldCharType="end"/>
          </w:r>
          <w:r>
            <w:rPr>
              <w:rFonts w:hint="eastAsia" w:ascii="宋体" w:hAnsi="宋体" w:eastAsia="宋体" w:cs="宋体"/>
              <w:szCs w:val="24"/>
            </w:rPr>
            <w:fldChar w:fldCharType="end"/>
          </w:r>
        </w:p>
        <w:p w14:paraId="608B8F0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_Toc6172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_Toc6172 \h </w:instrText>
          </w:r>
          <w:r>
            <w:fldChar w:fldCharType="separate"/>
          </w:r>
          <w:r>
            <w:t>7</w:t>
          </w:r>
          <w:r>
            <w:fldChar w:fldCharType="end"/>
          </w:r>
          <w:r>
            <w:rPr>
              <w:rFonts w:hint="eastAsia" w:ascii="宋体" w:hAnsi="宋体" w:eastAsia="宋体" w:cs="宋体"/>
              <w:szCs w:val="24"/>
            </w:rPr>
            <w:fldChar w:fldCharType="end"/>
          </w:r>
        </w:p>
        <w:p w14:paraId="4A38B99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_Toc22365 </w:instrText>
          </w:r>
          <w:r>
            <w:rPr>
              <w:rFonts w:hint="eastAsia" w:ascii="宋体" w:hAnsi="宋体" w:eastAsia="宋体" w:cs="宋体"/>
              <w:szCs w:val="24"/>
            </w:rPr>
            <w:fldChar w:fldCharType="separate"/>
          </w:r>
          <w:r>
            <w:rPr>
              <w:rFonts w:hint="default"/>
              <w:lang w:val="en-US" w:eastAsia="zh-CN"/>
            </w:rPr>
            <w:t>4.1. 服务目录的建立</w:t>
          </w:r>
          <w:r>
            <w:tab/>
          </w:r>
          <w:r>
            <w:fldChar w:fldCharType="begin"/>
          </w:r>
          <w:r>
            <w:instrText xml:space="preserve"> PAGEREF _Toc22365 \h </w:instrText>
          </w:r>
          <w:r>
            <w:fldChar w:fldCharType="separate"/>
          </w:r>
          <w:r>
            <w:t>7</w:t>
          </w:r>
          <w:r>
            <w:fldChar w:fldCharType="end"/>
          </w:r>
          <w:r>
            <w:rPr>
              <w:rFonts w:hint="eastAsia" w:ascii="宋体" w:hAnsi="宋体" w:eastAsia="宋体" w:cs="宋体"/>
              <w:szCs w:val="24"/>
            </w:rPr>
            <w:fldChar w:fldCharType="end"/>
          </w:r>
        </w:p>
        <w:p w14:paraId="7E90FB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_Toc6354 </w:instrText>
          </w:r>
          <w:r>
            <w:rPr>
              <w:rFonts w:hint="eastAsia" w:ascii="宋体" w:hAnsi="宋体" w:eastAsia="宋体" w:cs="宋体"/>
              <w:szCs w:val="24"/>
            </w:rPr>
            <w:fldChar w:fldCharType="separate"/>
          </w:r>
          <w:r>
            <w:rPr>
              <w:rFonts w:hint="default"/>
              <w:lang w:val="en-US" w:eastAsia="zh-CN"/>
            </w:rPr>
            <w:t>4.1.1. 策划</w:t>
          </w:r>
          <w:r>
            <w:tab/>
          </w:r>
          <w:r>
            <w:fldChar w:fldCharType="begin"/>
          </w:r>
          <w:r>
            <w:instrText xml:space="preserve"> PAGEREF _Toc6354 \h </w:instrText>
          </w:r>
          <w:r>
            <w:fldChar w:fldCharType="separate"/>
          </w:r>
          <w:r>
            <w:t>7</w:t>
          </w:r>
          <w:r>
            <w:fldChar w:fldCharType="end"/>
          </w:r>
          <w:r>
            <w:rPr>
              <w:rFonts w:hint="eastAsia" w:ascii="宋体" w:hAnsi="宋体" w:eastAsia="宋体" w:cs="宋体"/>
              <w:szCs w:val="24"/>
            </w:rPr>
            <w:fldChar w:fldCharType="end"/>
          </w:r>
        </w:p>
        <w:p w14:paraId="14E19AA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_Toc1337 </w:instrText>
          </w:r>
          <w:r>
            <w:rPr>
              <w:rFonts w:hint="eastAsia" w:ascii="宋体" w:hAnsi="宋体" w:eastAsia="宋体" w:cs="宋体"/>
              <w:szCs w:val="24"/>
            </w:rPr>
            <w:fldChar w:fldCharType="separate"/>
          </w:r>
          <w:r>
            <w:rPr>
              <w:rFonts w:hint="default"/>
              <w:lang w:val="en-US" w:eastAsia="zh-CN"/>
            </w:rPr>
            <w:t>4.1.2. 编制</w:t>
          </w:r>
          <w:r>
            <w:tab/>
          </w:r>
          <w:r>
            <w:fldChar w:fldCharType="begin"/>
          </w:r>
          <w:r>
            <w:instrText xml:space="preserve"> PAGEREF _Toc1337 \h </w:instrText>
          </w:r>
          <w:r>
            <w:fldChar w:fldCharType="separate"/>
          </w:r>
          <w:r>
            <w:t>7</w:t>
          </w:r>
          <w:r>
            <w:fldChar w:fldCharType="end"/>
          </w:r>
          <w:r>
            <w:rPr>
              <w:rFonts w:hint="eastAsia" w:ascii="宋体" w:hAnsi="宋体" w:eastAsia="宋体" w:cs="宋体"/>
              <w:szCs w:val="24"/>
            </w:rPr>
            <w:fldChar w:fldCharType="end"/>
          </w:r>
        </w:p>
        <w:p w14:paraId="46BB07F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_Toc25187 </w:instrText>
          </w:r>
          <w:r>
            <w:rPr>
              <w:rFonts w:hint="eastAsia" w:ascii="宋体" w:hAnsi="宋体" w:eastAsia="宋体" w:cs="宋体"/>
              <w:szCs w:val="24"/>
            </w:rPr>
            <w:fldChar w:fldCharType="separate"/>
          </w:r>
          <w:r>
            <w:rPr>
              <w:rFonts w:hint="default"/>
              <w:lang w:val="en-US" w:eastAsia="zh-CN"/>
            </w:rPr>
            <w:t>4.1.3. 评审与批准</w:t>
          </w:r>
          <w:r>
            <w:tab/>
          </w:r>
          <w:r>
            <w:fldChar w:fldCharType="begin"/>
          </w:r>
          <w:r>
            <w:instrText xml:space="preserve"> PAGEREF _Toc25187 \h </w:instrText>
          </w:r>
          <w:r>
            <w:fldChar w:fldCharType="separate"/>
          </w:r>
          <w:r>
            <w:t>7</w:t>
          </w:r>
          <w:r>
            <w:fldChar w:fldCharType="end"/>
          </w:r>
          <w:r>
            <w:rPr>
              <w:rFonts w:hint="eastAsia" w:ascii="宋体" w:hAnsi="宋体" w:eastAsia="宋体" w:cs="宋体"/>
              <w:szCs w:val="24"/>
            </w:rPr>
            <w:fldChar w:fldCharType="end"/>
          </w:r>
        </w:p>
        <w:p w14:paraId="2E587B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_Toc1462 </w:instrText>
          </w:r>
          <w:r>
            <w:rPr>
              <w:rFonts w:hint="eastAsia" w:ascii="宋体" w:hAnsi="宋体" w:eastAsia="宋体" w:cs="宋体"/>
              <w:szCs w:val="24"/>
            </w:rPr>
            <w:fldChar w:fldCharType="separate"/>
          </w:r>
          <w:r>
            <w:rPr>
              <w:rFonts w:hint="default"/>
              <w:lang w:val="en-US" w:eastAsia="zh-CN"/>
            </w:rPr>
            <w:t>4.2. 服务目录的维护与变更</w:t>
          </w:r>
          <w:r>
            <w:tab/>
          </w:r>
          <w:r>
            <w:fldChar w:fldCharType="begin"/>
          </w:r>
          <w:r>
            <w:instrText xml:space="preserve"> PAGEREF _Toc1462 \h </w:instrText>
          </w:r>
          <w:r>
            <w:fldChar w:fldCharType="separate"/>
          </w:r>
          <w:r>
            <w:t>7</w:t>
          </w:r>
          <w:r>
            <w:fldChar w:fldCharType="end"/>
          </w:r>
          <w:r>
            <w:rPr>
              <w:rFonts w:hint="eastAsia" w:ascii="宋体" w:hAnsi="宋体" w:eastAsia="宋体" w:cs="宋体"/>
              <w:szCs w:val="24"/>
            </w:rPr>
            <w:fldChar w:fldCharType="end"/>
          </w:r>
        </w:p>
        <w:p w14:paraId="4AEA26E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_Toc17787 </w:instrText>
          </w:r>
          <w:r>
            <w:rPr>
              <w:rFonts w:hint="eastAsia" w:ascii="宋体" w:hAnsi="宋体" w:eastAsia="宋体" w:cs="宋体"/>
              <w:szCs w:val="24"/>
            </w:rPr>
            <w:fldChar w:fldCharType="separate"/>
          </w:r>
          <w:r>
            <w:rPr>
              <w:rFonts w:hint="default"/>
              <w:lang w:val="en-US" w:eastAsia="zh-CN"/>
            </w:rPr>
            <w:t>4.2.1. 定期评审</w:t>
          </w:r>
          <w:r>
            <w:tab/>
          </w:r>
          <w:r>
            <w:fldChar w:fldCharType="begin"/>
          </w:r>
          <w:r>
            <w:instrText xml:space="preserve"> PAGEREF _Toc17787 \h </w:instrText>
          </w:r>
          <w:r>
            <w:fldChar w:fldCharType="separate"/>
          </w:r>
          <w:r>
            <w:t>7</w:t>
          </w:r>
          <w:r>
            <w:fldChar w:fldCharType="end"/>
          </w:r>
          <w:r>
            <w:rPr>
              <w:rFonts w:hint="eastAsia" w:ascii="宋体" w:hAnsi="宋体" w:eastAsia="宋体" w:cs="宋体"/>
              <w:szCs w:val="24"/>
            </w:rPr>
            <w:fldChar w:fldCharType="end"/>
          </w:r>
        </w:p>
        <w:p w14:paraId="6D2C068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_Toc14946 </w:instrText>
          </w:r>
          <w:r>
            <w:rPr>
              <w:rFonts w:hint="eastAsia" w:ascii="宋体" w:hAnsi="宋体" w:eastAsia="宋体" w:cs="宋体"/>
              <w:szCs w:val="24"/>
            </w:rPr>
            <w:fldChar w:fldCharType="separate"/>
          </w:r>
          <w:r>
            <w:rPr>
              <w:rFonts w:hint="default"/>
              <w:lang w:val="en-US" w:eastAsia="zh-CN"/>
            </w:rPr>
            <w:t>4.2.2. 变更触发</w:t>
          </w:r>
          <w:r>
            <w:tab/>
          </w:r>
          <w:r>
            <w:fldChar w:fldCharType="begin"/>
          </w:r>
          <w:r>
            <w:instrText xml:space="preserve"> PAGEREF _Toc14946 \h </w:instrText>
          </w:r>
          <w:r>
            <w:fldChar w:fldCharType="separate"/>
          </w:r>
          <w:r>
            <w:t>7</w:t>
          </w:r>
          <w:r>
            <w:fldChar w:fldCharType="end"/>
          </w:r>
          <w:r>
            <w:rPr>
              <w:rFonts w:hint="eastAsia" w:ascii="宋体" w:hAnsi="宋体" w:eastAsia="宋体" w:cs="宋体"/>
              <w:szCs w:val="24"/>
            </w:rPr>
            <w:fldChar w:fldCharType="end"/>
          </w:r>
        </w:p>
        <w:p w14:paraId="4D08366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_Toc27320 </w:instrText>
          </w:r>
          <w:r>
            <w:rPr>
              <w:rFonts w:hint="eastAsia" w:ascii="宋体" w:hAnsi="宋体" w:eastAsia="宋体" w:cs="宋体"/>
              <w:szCs w:val="24"/>
            </w:rPr>
            <w:fldChar w:fldCharType="separate"/>
          </w:r>
          <w:r>
            <w:rPr>
              <w:rFonts w:hint="default"/>
              <w:lang w:val="en-US" w:eastAsia="zh-CN"/>
            </w:rPr>
            <w:t>4.2.3. 变更控制</w:t>
          </w:r>
          <w:r>
            <w:tab/>
          </w:r>
          <w:r>
            <w:fldChar w:fldCharType="begin"/>
          </w:r>
          <w:r>
            <w:instrText xml:space="preserve"> PAGEREF _Toc27320 \h </w:instrText>
          </w:r>
          <w:r>
            <w:fldChar w:fldCharType="separate"/>
          </w:r>
          <w:r>
            <w:t>8</w:t>
          </w:r>
          <w:r>
            <w:fldChar w:fldCharType="end"/>
          </w:r>
          <w:r>
            <w:rPr>
              <w:rFonts w:hint="eastAsia" w:ascii="宋体" w:hAnsi="宋体" w:eastAsia="宋体" w:cs="宋体"/>
              <w:szCs w:val="24"/>
            </w:rPr>
            <w:fldChar w:fldCharType="end"/>
          </w:r>
        </w:p>
        <w:p w14:paraId="6D119C6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_Toc27015 </w:instrText>
          </w:r>
          <w:r>
            <w:rPr>
              <w:rFonts w:hint="eastAsia" w:ascii="宋体" w:hAnsi="宋体" w:eastAsia="宋体" w:cs="宋体"/>
              <w:szCs w:val="24"/>
            </w:rPr>
            <w:fldChar w:fldCharType="separate"/>
          </w:r>
          <w:r>
            <w:rPr>
              <w:rFonts w:hint="default"/>
              <w:lang w:val="en-US" w:eastAsia="zh-CN"/>
            </w:rPr>
            <w:t>4.3. 服务目录的使用</w:t>
          </w:r>
          <w:r>
            <w:tab/>
          </w:r>
          <w:r>
            <w:fldChar w:fldCharType="begin"/>
          </w:r>
          <w:r>
            <w:instrText xml:space="preserve"> PAGEREF _Toc27015 \h </w:instrText>
          </w:r>
          <w:r>
            <w:fldChar w:fldCharType="separate"/>
          </w:r>
          <w:r>
            <w:t>8</w:t>
          </w:r>
          <w:r>
            <w:fldChar w:fldCharType="end"/>
          </w:r>
          <w:r>
            <w:rPr>
              <w:rFonts w:hint="eastAsia" w:ascii="宋体" w:hAnsi="宋体" w:eastAsia="宋体" w:cs="宋体"/>
              <w:szCs w:val="24"/>
            </w:rPr>
            <w:fldChar w:fldCharType="end"/>
          </w:r>
        </w:p>
        <w:p w14:paraId="0DFF85B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_Toc18136 </w:instrText>
          </w:r>
          <w:r>
            <w:rPr>
              <w:rFonts w:hint="eastAsia" w:ascii="宋体" w:hAnsi="宋体" w:eastAsia="宋体" w:cs="宋体"/>
              <w:szCs w:val="24"/>
            </w:rPr>
            <w:fldChar w:fldCharType="separate"/>
          </w:r>
          <w:r>
            <w:rPr>
              <w:rFonts w:hint="default"/>
              <w:lang w:val="en-US" w:eastAsia="zh-CN"/>
            </w:rPr>
            <w:t>4.3.1. 服务能力展示</w:t>
          </w:r>
          <w:r>
            <w:tab/>
          </w:r>
          <w:r>
            <w:fldChar w:fldCharType="begin"/>
          </w:r>
          <w:r>
            <w:instrText xml:space="preserve"> PAGEREF _Toc18136 \h </w:instrText>
          </w:r>
          <w:r>
            <w:fldChar w:fldCharType="separate"/>
          </w:r>
          <w:r>
            <w:t>8</w:t>
          </w:r>
          <w:r>
            <w:fldChar w:fldCharType="end"/>
          </w:r>
          <w:r>
            <w:rPr>
              <w:rFonts w:hint="eastAsia" w:ascii="宋体" w:hAnsi="宋体" w:eastAsia="宋体" w:cs="宋体"/>
              <w:szCs w:val="24"/>
            </w:rPr>
            <w:fldChar w:fldCharType="end"/>
          </w:r>
        </w:p>
        <w:p w14:paraId="6BCFBC7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_Toc17947 </w:instrText>
          </w:r>
          <w:r>
            <w:rPr>
              <w:rFonts w:hint="eastAsia" w:ascii="宋体" w:hAnsi="宋体" w:eastAsia="宋体" w:cs="宋体"/>
              <w:szCs w:val="24"/>
            </w:rPr>
            <w:fldChar w:fldCharType="separate"/>
          </w:r>
          <w:r>
            <w:rPr>
              <w:rFonts w:hint="default"/>
              <w:lang w:val="en-US" w:eastAsia="zh-CN"/>
            </w:rPr>
            <w:t>4.3.2. 服务交付依据</w:t>
          </w:r>
          <w:r>
            <w:tab/>
          </w:r>
          <w:r>
            <w:fldChar w:fldCharType="begin"/>
          </w:r>
          <w:r>
            <w:instrText xml:space="preserve"> PAGEREF _Toc17947 \h </w:instrText>
          </w:r>
          <w:r>
            <w:fldChar w:fldCharType="separate"/>
          </w:r>
          <w:r>
            <w:t>8</w:t>
          </w:r>
          <w:r>
            <w:fldChar w:fldCharType="end"/>
          </w:r>
          <w:r>
            <w:rPr>
              <w:rFonts w:hint="eastAsia" w:ascii="宋体" w:hAnsi="宋体" w:eastAsia="宋体" w:cs="宋体"/>
              <w:szCs w:val="24"/>
            </w:rPr>
            <w:fldChar w:fldCharType="end"/>
          </w:r>
        </w:p>
        <w:p w14:paraId="0FCCFDF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_Toc21858 </w:instrText>
          </w:r>
          <w:r>
            <w:rPr>
              <w:rFonts w:hint="eastAsia" w:ascii="宋体" w:hAnsi="宋体" w:eastAsia="宋体" w:cs="宋体"/>
              <w:szCs w:val="24"/>
            </w:rPr>
            <w:fldChar w:fldCharType="separate"/>
          </w:r>
          <w:r>
            <w:rPr>
              <w:rFonts w:hint="default"/>
              <w:lang w:val="en-US" w:eastAsia="zh-CN"/>
            </w:rPr>
            <w:t>4.4. 与其他流程的关系</w:t>
          </w:r>
          <w:r>
            <w:tab/>
          </w:r>
          <w:r>
            <w:fldChar w:fldCharType="begin"/>
          </w:r>
          <w:r>
            <w:instrText xml:space="preserve"> PAGEREF _Toc21858 \h </w:instrText>
          </w:r>
          <w:r>
            <w:fldChar w:fldCharType="separate"/>
          </w:r>
          <w:r>
            <w:t>8</w:t>
          </w:r>
          <w:r>
            <w:fldChar w:fldCharType="end"/>
          </w:r>
          <w:r>
            <w:rPr>
              <w:rFonts w:hint="eastAsia" w:ascii="宋体" w:hAnsi="宋体" w:eastAsia="宋体" w:cs="宋体"/>
              <w:szCs w:val="24"/>
            </w:rPr>
            <w:fldChar w:fldCharType="end"/>
          </w:r>
        </w:p>
        <w:p w14:paraId="79B7164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_Toc18504 </w:instrText>
          </w:r>
          <w:r>
            <w:rPr>
              <w:rFonts w:hint="eastAsia" w:ascii="宋体" w:hAnsi="宋体" w:eastAsia="宋体" w:cs="宋体"/>
              <w:szCs w:val="24"/>
            </w:rPr>
            <w:fldChar w:fldCharType="separate"/>
          </w:r>
          <w:r>
            <w:rPr>
              <w:rFonts w:hint="default"/>
              <w:lang w:val="en-US" w:eastAsia="zh-CN"/>
            </w:rPr>
            <w:t>4.4.1. 与服务级别管理（SLM）</w:t>
          </w:r>
          <w:r>
            <w:tab/>
          </w:r>
          <w:r>
            <w:fldChar w:fldCharType="begin"/>
          </w:r>
          <w:r>
            <w:instrText xml:space="preserve"> PAGEREF _Toc18504 \h </w:instrText>
          </w:r>
          <w:r>
            <w:fldChar w:fldCharType="separate"/>
          </w:r>
          <w:r>
            <w:t>8</w:t>
          </w:r>
          <w:r>
            <w:fldChar w:fldCharType="end"/>
          </w:r>
          <w:r>
            <w:rPr>
              <w:rFonts w:hint="eastAsia" w:ascii="宋体" w:hAnsi="宋体" w:eastAsia="宋体" w:cs="宋体"/>
              <w:szCs w:val="24"/>
            </w:rPr>
            <w:fldChar w:fldCharType="end"/>
          </w:r>
        </w:p>
        <w:p w14:paraId="7D4FB41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_Toc30098 </w:instrText>
          </w:r>
          <w:r>
            <w:rPr>
              <w:rFonts w:hint="eastAsia" w:ascii="宋体" w:hAnsi="宋体" w:eastAsia="宋体" w:cs="宋体"/>
              <w:szCs w:val="24"/>
            </w:rPr>
            <w:fldChar w:fldCharType="separate"/>
          </w:r>
          <w:r>
            <w:rPr>
              <w:rFonts w:hint="default"/>
              <w:lang w:val="en-US" w:eastAsia="zh-CN"/>
            </w:rPr>
            <w:t>4.4.2. 与配置管理</w:t>
          </w:r>
          <w:r>
            <w:tab/>
          </w:r>
          <w:r>
            <w:fldChar w:fldCharType="begin"/>
          </w:r>
          <w:r>
            <w:instrText xml:space="preserve"> PAGEREF _Toc30098 \h </w:instrText>
          </w:r>
          <w:r>
            <w:fldChar w:fldCharType="separate"/>
          </w:r>
          <w:r>
            <w:t>8</w:t>
          </w:r>
          <w:r>
            <w:fldChar w:fldCharType="end"/>
          </w:r>
          <w:r>
            <w:rPr>
              <w:rFonts w:hint="eastAsia" w:ascii="宋体" w:hAnsi="宋体" w:eastAsia="宋体" w:cs="宋体"/>
              <w:szCs w:val="24"/>
            </w:rPr>
            <w:fldChar w:fldCharType="end"/>
          </w:r>
        </w:p>
        <w:p w14:paraId="7AE86D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_Toc25395 </w:instrText>
          </w:r>
          <w:r>
            <w:rPr>
              <w:rFonts w:hint="eastAsia" w:ascii="宋体" w:hAnsi="宋体" w:eastAsia="宋体" w:cs="宋体"/>
              <w:szCs w:val="24"/>
            </w:rPr>
            <w:fldChar w:fldCharType="separate"/>
          </w:r>
          <w:r>
            <w:rPr>
              <w:rFonts w:hint="default"/>
              <w:lang w:val="en-US" w:eastAsia="zh-CN"/>
            </w:rPr>
            <w:t>4.5. 检查、总结与改进</w:t>
          </w:r>
          <w:r>
            <w:tab/>
          </w:r>
          <w:r>
            <w:fldChar w:fldCharType="begin"/>
          </w:r>
          <w:r>
            <w:instrText xml:space="preserve"> PAGEREF _Toc25395 \h </w:instrText>
          </w:r>
          <w:r>
            <w:fldChar w:fldCharType="separate"/>
          </w:r>
          <w:r>
            <w:t>9</w:t>
          </w:r>
          <w:r>
            <w:fldChar w:fldCharType="end"/>
          </w:r>
          <w:r>
            <w:rPr>
              <w:rFonts w:hint="eastAsia" w:ascii="宋体" w:hAnsi="宋体" w:eastAsia="宋体" w:cs="宋体"/>
              <w:szCs w:val="24"/>
            </w:rPr>
            <w:fldChar w:fldCharType="end"/>
          </w:r>
        </w:p>
        <w:p w14:paraId="6C3F3D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_Toc25477 </w:instrText>
          </w:r>
          <w:r>
            <w:rPr>
              <w:rFonts w:hint="eastAsia" w:ascii="宋体" w:hAnsi="宋体" w:eastAsia="宋体" w:cs="宋体"/>
              <w:szCs w:val="24"/>
            </w:rPr>
            <w:fldChar w:fldCharType="separate"/>
          </w:r>
          <w:r>
            <w:rPr>
              <w:rFonts w:hint="default"/>
              <w:lang w:val="en-US" w:eastAsia="zh-CN"/>
            </w:rPr>
            <w:t>4.5.1. 执行情况检查</w:t>
          </w:r>
          <w:r>
            <w:tab/>
          </w:r>
          <w:r>
            <w:fldChar w:fldCharType="begin"/>
          </w:r>
          <w:r>
            <w:instrText xml:space="preserve"> PAGEREF _Toc25477 \h </w:instrText>
          </w:r>
          <w:r>
            <w:fldChar w:fldCharType="separate"/>
          </w:r>
          <w:r>
            <w:t>9</w:t>
          </w:r>
          <w:r>
            <w:fldChar w:fldCharType="end"/>
          </w:r>
          <w:r>
            <w:rPr>
              <w:rFonts w:hint="eastAsia" w:ascii="宋体" w:hAnsi="宋体" w:eastAsia="宋体" w:cs="宋体"/>
              <w:szCs w:val="24"/>
            </w:rPr>
            <w:fldChar w:fldCharType="end"/>
          </w:r>
        </w:p>
        <w:p w14:paraId="7D67E55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_Toc18913 </w:instrText>
          </w:r>
          <w:r>
            <w:rPr>
              <w:rFonts w:hint="eastAsia" w:ascii="宋体" w:hAnsi="宋体" w:eastAsia="宋体" w:cs="宋体"/>
              <w:szCs w:val="24"/>
            </w:rPr>
            <w:fldChar w:fldCharType="separate"/>
          </w:r>
          <w:r>
            <w:rPr>
              <w:rFonts w:hint="default"/>
              <w:lang w:val="en-US" w:eastAsia="zh-CN"/>
            </w:rPr>
            <w:t>4.5.2. 年度总结</w:t>
          </w:r>
          <w:r>
            <w:tab/>
          </w:r>
          <w:r>
            <w:fldChar w:fldCharType="begin"/>
          </w:r>
          <w:r>
            <w:instrText xml:space="preserve"> PAGEREF _Toc18913 \h </w:instrText>
          </w:r>
          <w:r>
            <w:fldChar w:fldCharType="separate"/>
          </w:r>
          <w:r>
            <w:t>9</w:t>
          </w:r>
          <w:r>
            <w:fldChar w:fldCharType="end"/>
          </w:r>
          <w:r>
            <w:rPr>
              <w:rFonts w:hint="eastAsia" w:ascii="宋体" w:hAnsi="宋体" w:eastAsia="宋体" w:cs="宋体"/>
              <w:szCs w:val="24"/>
            </w:rPr>
            <w:fldChar w:fldCharType="end"/>
          </w:r>
        </w:p>
        <w:p w14:paraId="0756C2F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_Toc22530 </w:instrText>
          </w:r>
          <w:r>
            <w:rPr>
              <w:rFonts w:hint="eastAsia" w:ascii="宋体" w:hAnsi="宋体" w:eastAsia="宋体" w:cs="宋体"/>
              <w:szCs w:val="24"/>
            </w:rPr>
            <w:fldChar w:fldCharType="separate"/>
          </w:r>
          <w:r>
            <w:rPr>
              <w:rFonts w:hint="default"/>
              <w:lang w:val="en-US" w:eastAsia="zh-CN"/>
            </w:rPr>
            <w:t>4.5.3. 持续改进</w:t>
          </w:r>
          <w:r>
            <w:tab/>
          </w:r>
          <w:r>
            <w:fldChar w:fldCharType="begin"/>
          </w:r>
          <w:r>
            <w:instrText xml:space="preserve"> PAGEREF _Toc22530 \h </w:instrText>
          </w:r>
          <w:r>
            <w:fldChar w:fldCharType="separate"/>
          </w:r>
          <w:r>
            <w:t>9</w:t>
          </w:r>
          <w:r>
            <w:fldChar w:fldCharType="end"/>
          </w:r>
          <w:r>
            <w:rPr>
              <w:rFonts w:hint="eastAsia" w:ascii="宋体" w:hAnsi="宋体" w:eastAsia="宋体" w:cs="宋体"/>
              <w:szCs w:val="24"/>
            </w:rPr>
            <w:fldChar w:fldCharType="end"/>
          </w:r>
        </w:p>
        <w:p w14:paraId="486653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_Toc17523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_Toc17523 \h </w:instrText>
          </w:r>
          <w:r>
            <w:fldChar w:fldCharType="separate"/>
          </w:r>
          <w:r>
            <w:t>9</w:t>
          </w:r>
          <w:r>
            <w:fldChar w:fldCharType="end"/>
          </w:r>
          <w:r>
            <w:rPr>
              <w:rFonts w:hint="eastAsia" w:ascii="宋体" w:hAnsi="宋体" w:eastAsia="宋体" w:cs="宋体"/>
              <w:szCs w:val="24"/>
            </w:rPr>
            <w:fldChar w:fldCharType="end"/>
          </w:r>
        </w:p>
        <w:p w14:paraId="3D0DB57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_Toc27473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_Toc27473 \h </w:instrText>
          </w:r>
          <w:r>
            <w:fldChar w:fldCharType="separate"/>
          </w:r>
          <w:r>
            <w:t>9</w:t>
          </w:r>
          <w:r>
            <w:fldChar w:fldCharType="end"/>
          </w:r>
          <w:r>
            <w:rPr>
              <w:rFonts w:hint="eastAsia" w:ascii="宋体" w:hAnsi="宋体" w:eastAsia="宋体" w:cs="宋体"/>
              <w:szCs w:val="24"/>
            </w:rPr>
            <w:fldChar w:fldCharType="end"/>
          </w:r>
        </w:p>
        <w:p w14:paraId="637063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_Toc24591 \h </w:instrText>
          </w:r>
          <w:r>
            <w:fldChar w:fldCharType="separate"/>
          </w:r>
          <w:r>
            <w:t>9</w:t>
          </w:r>
          <w:r>
            <w:fldChar w:fldCharType="end"/>
          </w:r>
          <w:r>
            <w:rPr>
              <w:rFonts w:hint="eastAsia" w:ascii="宋体" w:hAnsi="宋体" w:eastAsia="宋体" w:cs="宋体"/>
              <w:szCs w:val="24"/>
            </w:rPr>
            <w:fldChar w:fldCharType="end"/>
          </w:r>
        </w:p>
        <w:p w14:paraId="4A2286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E473C9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3BF20B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31471"/>
      <w:r>
        <w:rPr>
          <w:rFonts w:hint="eastAsia"/>
          <w:lang w:val="en-US" w:eastAsia="zh-CN"/>
        </w:rPr>
        <w:t>总则</w:t>
      </w:r>
      <w:bookmarkEnd w:id="2"/>
    </w:p>
    <w:p w14:paraId="1F25697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2030"/>
      <w:r>
        <w:rPr>
          <w:rFonts w:hint="eastAsia"/>
          <w:lang w:val="en-US" w:eastAsia="zh-CN"/>
        </w:rPr>
        <w:t>目的</w:t>
      </w:r>
      <w:bookmarkEnd w:id="3"/>
    </w:p>
    <w:p w14:paraId="6BC694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规范公司运维服务目录的建立、变更、维护与使用，确保服务目录信息准确、一致、有效，使其能真实反映公司当前的服务能力、服务内容与服务承诺，并作为管理客户需求、展示服务能力、指导服务交付的重要依据，特制定本</w:t>
      </w:r>
      <w:r>
        <w:rPr>
          <w:rFonts w:hint="eastAsia"/>
          <w:lang w:val="en-US" w:eastAsia="zh-CN"/>
        </w:rPr>
        <w:t>制度</w:t>
      </w:r>
      <w:r>
        <w:t>。</w:t>
      </w:r>
    </w:p>
    <w:p w14:paraId="6CD3565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6345"/>
      <w:r>
        <w:rPr>
          <w:rFonts w:hint="eastAsia"/>
          <w:lang w:val="en-US" w:eastAsia="zh-CN"/>
        </w:rPr>
        <w:t>适用范围</w:t>
      </w:r>
      <w:bookmarkEnd w:id="4"/>
    </w:p>
    <w:p w14:paraId="179E25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本</w:t>
      </w:r>
      <w:r>
        <w:rPr>
          <w:rFonts w:hint="eastAsia"/>
          <w:lang w:val="en-US" w:eastAsia="zh-CN"/>
        </w:rPr>
        <w:t>制度</w:t>
      </w:r>
      <w:r>
        <w:t>适用于公司所有已提供或计划提供的、处于规划、转换或已正式运行阶段的运维服务。服务目录的管理活动涵盖服务的定义、目录的建立、发布、维护、变更以及与其他服务管理过程的联动。</w:t>
      </w:r>
    </w:p>
    <w:p w14:paraId="2FD3869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5711"/>
      <w:r>
        <w:rPr>
          <w:rFonts w:hint="eastAsia"/>
          <w:lang w:val="en-US" w:eastAsia="zh-CN"/>
        </w:rPr>
        <w:t>原则</w:t>
      </w:r>
      <w:bookmarkEnd w:id="5"/>
    </w:p>
    <w:p w14:paraId="380897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服务目录管理应遵循以下原则：</w:t>
      </w:r>
    </w:p>
    <w:p w14:paraId="1644ECD4">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准确性原则：服务目录必须准确反映当前服务的实际情况。</w:t>
      </w:r>
    </w:p>
    <w:p w14:paraId="1A6BFAA0">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一致性原则：服务目录内容应与公司的服务能力、资源配置、组织架构及对外承诺保持一致。</w:t>
      </w:r>
    </w:p>
    <w:p w14:paraId="3C94D727">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动态性原则：服务目录应定期评审并及时更新，以适应内外部环境的变化。</w:t>
      </w:r>
    </w:p>
    <w:p w14:paraId="25A44071">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关联性原则：服务目录管理应与服务级别管理、配置管理等其他服务管理流程紧密关联。</w:t>
      </w:r>
    </w:p>
    <w:p w14:paraId="5F4BB41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4056"/>
      <w:r>
        <w:rPr>
          <w:rFonts w:hint="eastAsia"/>
          <w:lang w:val="en-US" w:eastAsia="zh-CN"/>
        </w:rPr>
        <w:t>岗位职责</w:t>
      </w:r>
      <w:bookmarkEnd w:id="6"/>
    </w:p>
    <w:p w14:paraId="3803590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042"/>
      <w:r>
        <w:rPr>
          <w:rFonts w:hint="eastAsia"/>
          <w:lang w:val="en-US" w:eastAsia="zh-CN"/>
        </w:rPr>
        <w:t>总经理</w:t>
      </w:r>
      <w:bookmarkEnd w:id="7"/>
    </w:p>
    <w:p w14:paraId="7DDF72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负责审批公司级服务目录（服务目录列表），并为服务目录管理提供必要的资源保障。</w:t>
      </w:r>
    </w:p>
    <w:p w14:paraId="5C66EFB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3786"/>
      <w:r>
        <w:rPr>
          <w:rFonts w:hint="default"/>
          <w:lang w:val="en-US" w:eastAsia="zh-CN"/>
        </w:rPr>
        <w:t>管理者代表</w:t>
      </w:r>
      <w:bookmarkEnd w:id="8"/>
    </w:p>
    <w:p w14:paraId="7F889C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负责审核公司级服务目录，批准各项目级服务目录（服务详述）。</w:t>
      </w:r>
    </w:p>
    <w:p w14:paraId="6EED190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176"/>
      <w:r>
        <w:rPr>
          <w:rFonts w:hint="default"/>
          <w:lang w:val="en-US" w:eastAsia="zh-CN"/>
        </w:rPr>
        <w:t>运维部</w:t>
      </w:r>
      <w:bookmarkEnd w:id="9"/>
    </w:p>
    <w:p w14:paraId="6A2F8D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负责组织建立、维护、变更公司级服务目录；组织定期评审目录的适宜性和实施情况；负责服务目录的变更控制。</w:t>
      </w:r>
    </w:p>
    <w:p w14:paraId="10B3B3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负责具体项目服务目录（服务详述）的建立、实施与维护，并提出服务目录变更需求。</w:t>
      </w:r>
    </w:p>
    <w:p w14:paraId="45D2023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8019"/>
      <w:r>
        <w:rPr>
          <w:rFonts w:hint="eastAsia"/>
          <w:lang w:val="en-US" w:eastAsia="zh-CN"/>
        </w:rPr>
        <w:t>人力部</w:t>
      </w:r>
      <w:bookmarkEnd w:id="10"/>
    </w:p>
    <w:p w14:paraId="490429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负责确保公司人力资源配置与服务目录所定义的服务能力要求相匹配。</w:t>
      </w:r>
    </w:p>
    <w:p w14:paraId="1CDA6AD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6729"/>
      <w:r>
        <w:rPr>
          <w:rFonts w:hint="eastAsia"/>
          <w:lang w:val="en-US" w:eastAsia="zh-CN"/>
        </w:rPr>
        <w:t>引用依据</w:t>
      </w:r>
      <w:bookmarkEnd w:id="11"/>
    </w:p>
    <w:p w14:paraId="611DD793">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209" w:line="327" w:lineRule="exact"/>
        <w:ind w:left="425" w:leftChars="0" w:hanging="425" w:firstLineChars="0"/>
        <w:textAlignment w:val="baseline"/>
        <w:rPr>
          <w:rFonts w:ascii="宋体" w:hAnsi="宋体" w:eastAsia="宋体" w:cs="宋体"/>
          <w:sz w:val="24"/>
          <w:szCs w:val="24"/>
        </w:rPr>
      </w:pPr>
      <w:r>
        <w:rPr>
          <w:rFonts w:hint="eastAsia"/>
          <w:spacing w:val="-1"/>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5EA7750A">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297" w:line="327" w:lineRule="exact"/>
        <w:ind w:left="425" w:leftChars="0" w:hanging="425" w:firstLineChars="0"/>
        <w:textAlignment w:val="baseline"/>
        <w:rPr>
          <w:rFonts w:ascii="宋体" w:hAnsi="宋体" w:eastAsia="宋体" w:cs="宋体"/>
          <w:sz w:val="24"/>
          <w:szCs w:val="24"/>
        </w:rPr>
      </w:pPr>
      <w:r>
        <w:rPr>
          <w:spacing w:val="-1"/>
          <w:position w:val="1"/>
          <w:sz w:val="24"/>
          <w:szCs w:val="24"/>
        </w:rPr>
        <w:t>GB/T28827.1-2022</w:t>
      </w:r>
      <w:r>
        <w:rPr>
          <w:rFonts w:ascii="宋体" w:hAnsi="宋体" w:eastAsia="宋体" w:cs="宋体"/>
          <w:spacing w:val="-1"/>
          <w:position w:val="1"/>
          <w:sz w:val="24"/>
          <w:szCs w:val="24"/>
        </w:rPr>
        <w:t>《信息技术服务 运行维护 第一部分：通用要求》</w:t>
      </w:r>
    </w:p>
    <w:p w14:paraId="24613180">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297" w:line="327" w:lineRule="exact"/>
        <w:ind w:left="425" w:leftChars="0" w:hanging="425" w:firstLineChars="0"/>
        <w:textAlignment w:val="baseline"/>
        <w:rPr>
          <w:rFonts w:ascii="宋体" w:hAnsi="宋体" w:eastAsia="宋体" w:cs="宋体"/>
          <w:sz w:val="24"/>
          <w:szCs w:val="24"/>
        </w:rPr>
      </w:pPr>
      <w:r>
        <w:rPr>
          <w:spacing w:val="-1"/>
          <w:position w:val="1"/>
          <w:sz w:val="24"/>
          <w:szCs w:val="24"/>
        </w:rPr>
        <w:t xml:space="preserve">GB/T 29264-2012 </w:t>
      </w:r>
      <w:r>
        <w:rPr>
          <w:rFonts w:ascii="宋体" w:hAnsi="宋体" w:eastAsia="宋体" w:cs="宋体"/>
          <w:spacing w:val="-1"/>
          <w:position w:val="1"/>
          <w:sz w:val="24"/>
          <w:szCs w:val="24"/>
        </w:rPr>
        <w:t>《信息技术服务 分类与代码》</w:t>
      </w:r>
    </w:p>
    <w:p w14:paraId="496F3E48">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297" w:line="327" w:lineRule="exact"/>
        <w:ind w:left="425" w:leftChars="0" w:hanging="425" w:firstLineChars="0"/>
        <w:textAlignment w:val="baseline"/>
        <w:rPr>
          <w:rFonts w:ascii="宋体" w:hAnsi="宋体" w:eastAsia="宋体" w:cs="宋体"/>
          <w:sz w:val="24"/>
          <w:szCs w:val="24"/>
        </w:rPr>
      </w:pPr>
      <w:r>
        <w:rPr>
          <w:spacing w:val="-1"/>
          <w:position w:val="1"/>
          <w:sz w:val="24"/>
          <w:szCs w:val="24"/>
        </w:rPr>
        <w:t xml:space="preserve">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57A43053">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297" w:line="329" w:lineRule="auto"/>
        <w:ind w:left="425" w:leftChars="0" w:right="14" w:hanging="425" w:firstLineChars="0"/>
        <w:textAlignment w:val="baseline"/>
        <w:rPr>
          <w:rFonts w:ascii="宋体" w:hAnsi="宋体" w:eastAsia="宋体" w:cs="宋体"/>
          <w:sz w:val="24"/>
          <w:szCs w:val="24"/>
        </w:rPr>
      </w:pP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4283264C">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25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国家有关法律、法规及行业标准</w:t>
      </w:r>
    </w:p>
    <w:p w14:paraId="7A0B8B0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672"/>
      <w:r>
        <w:rPr>
          <w:rFonts w:hint="eastAsia"/>
          <w:lang w:val="en-US" w:eastAsia="zh-CN"/>
        </w:rPr>
        <w:t>定义与术语</w:t>
      </w:r>
      <w:bookmarkEnd w:id="12"/>
    </w:p>
    <w:p w14:paraId="79F4616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服务目录：</w:t>
      </w:r>
    </w:p>
    <w:p w14:paraId="50206B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记录所有服务项目相关信息的结构化文档或数据库。通常由面向客户的“服务目录列表”和面向内部的“服务详述”两部分组成。</w:t>
      </w:r>
    </w:p>
    <w:p w14:paraId="1A252A4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服务目录列表：</w:t>
      </w:r>
    </w:p>
    <w:p w14:paraId="7DEC0D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（公司级目录）面向客户的服务摘要，包含服务名称、简介、服务目标、价格等基本信息。</w:t>
      </w:r>
    </w:p>
    <w:p w14:paraId="783A40D5">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服务详述：</w:t>
      </w:r>
    </w:p>
    <w:p w14:paraId="1894E3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（项目级目录）详细定义特定客户或项目所享受服务的具体内容，包括服务范围、服务级别协议（SLA）、操作级别协议（OLA）、交付方式、交付物等。</w:t>
      </w:r>
    </w:p>
    <w:p w14:paraId="03FCB85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本</w:t>
      </w:r>
      <w:r>
        <w:rPr>
          <w:rFonts w:hint="eastAsia"/>
          <w:lang w:val="en-US" w:eastAsia="zh-CN"/>
        </w:rPr>
        <w:t>制度</w:t>
      </w:r>
      <w:r>
        <w:rPr>
          <w:rFonts w:hint="eastAsia"/>
        </w:rPr>
        <w:t>中未定义的术语，执行国家相关标准的定义</w:t>
      </w:r>
    </w:p>
    <w:p w14:paraId="54813DE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6172"/>
      <w:r>
        <w:rPr>
          <w:rFonts w:hint="eastAsia"/>
          <w:lang w:val="en-US" w:eastAsia="zh-CN"/>
        </w:rPr>
        <w:t>管理内容与要求</w:t>
      </w:r>
      <w:bookmarkEnd w:id="13"/>
    </w:p>
    <w:p w14:paraId="0D12A50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2365"/>
      <w:r>
        <w:rPr>
          <w:rFonts w:hint="default"/>
          <w:lang w:val="en-US" w:eastAsia="zh-CN"/>
        </w:rPr>
        <w:t>服务目录的建立</w:t>
      </w:r>
      <w:bookmarkEnd w:id="14"/>
    </w:p>
    <w:p w14:paraId="495B290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6354"/>
      <w:r>
        <w:rPr>
          <w:rFonts w:hint="default"/>
          <w:lang w:val="en-US" w:eastAsia="zh-CN"/>
        </w:rPr>
        <w:t>策划</w:t>
      </w:r>
      <w:bookmarkEnd w:id="15"/>
    </w:p>
    <w:p w14:paraId="30B5CCB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运维部应依据公司发展战略、服务产品规划、资源能力（人员、技术、工具）等，组织策划公司级服务目录的框架和内容。</w:t>
      </w:r>
    </w:p>
    <w:p w14:paraId="7A5E05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337"/>
      <w:r>
        <w:rPr>
          <w:rFonts w:hint="default"/>
          <w:lang w:val="en-US" w:eastAsia="zh-CN"/>
        </w:rPr>
        <w:t>编制</w:t>
      </w:r>
      <w:bookmarkEnd w:id="16"/>
    </w:p>
    <w:p w14:paraId="767746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服务目录的分类与代码应遵循GB/T 29264-2012标准。服务目录列表内容应清晰、易懂，便于客户选择。</w:t>
      </w:r>
    </w:p>
    <w:p w14:paraId="2AC69BB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5187"/>
      <w:r>
        <w:rPr>
          <w:rFonts w:hint="default"/>
          <w:lang w:val="en-US" w:eastAsia="zh-CN"/>
        </w:rPr>
        <w:t>评审与批准</w:t>
      </w:r>
      <w:bookmarkEnd w:id="17"/>
    </w:p>
    <w:p w14:paraId="2588BD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公司级服务目录（服务目录列表）由管理者代表审核，报公司高层批准后发布实施，并纳入配置管理库。</w:t>
      </w:r>
    </w:p>
    <w:p w14:paraId="3AE105F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462"/>
      <w:r>
        <w:rPr>
          <w:rFonts w:hint="default"/>
          <w:lang w:val="en-US" w:eastAsia="zh-CN"/>
        </w:rPr>
        <w:t>服务目录的维护与变更</w:t>
      </w:r>
      <w:bookmarkEnd w:id="18"/>
    </w:p>
    <w:p w14:paraId="5EC3EF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7787"/>
      <w:r>
        <w:rPr>
          <w:rFonts w:hint="default"/>
          <w:lang w:val="en-US" w:eastAsia="zh-CN"/>
        </w:rPr>
        <w:t>定期评审</w:t>
      </w:r>
      <w:bookmarkEnd w:id="19"/>
    </w:p>
    <w:p w14:paraId="33B6B9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运维部经理应至少每半年组织一次服务目录的符合性、适宜性评审，确保其与实际业务、客户需求、资源配置相匹配。</w:t>
      </w:r>
    </w:p>
    <w:p w14:paraId="64A261F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4946"/>
      <w:r>
        <w:rPr>
          <w:rFonts w:hint="default"/>
          <w:lang w:val="en-US" w:eastAsia="zh-CN"/>
        </w:rPr>
        <w:t>变更触发</w:t>
      </w:r>
      <w:bookmarkEnd w:id="20"/>
    </w:p>
    <w:p w14:paraId="6DF248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当出现服务能力提升、客户需求变化、组织结构调整、技术更新等情况时，应启动服务目录变更流程。</w:t>
      </w:r>
    </w:p>
    <w:p w14:paraId="5EF665B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7320"/>
      <w:r>
        <w:rPr>
          <w:rFonts w:hint="default"/>
          <w:lang w:val="en-US" w:eastAsia="zh-CN"/>
        </w:rPr>
        <w:t>变更控制</w:t>
      </w:r>
      <w:bookmarkEnd w:id="21"/>
    </w:p>
    <w:p w14:paraId="2BC1C3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变更发起人填写《变更申请书》，并提交至运维部。</w:t>
      </w:r>
    </w:p>
    <w:p w14:paraId="2731D9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运维部组织相关人员对变更的必要性、可行性及对SLA、配置项等的影响进行评审。</w:t>
      </w:r>
    </w:p>
    <w:p w14:paraId="468F72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评审通过后，按照《</w:t>
      </w:r>
      <w:r>
        <w:rPr>
          <w:rFonts w:hint="eastAsia"/>
          <w:lang w:val="en-US" w:eastAsia="zh-CN"/>
        </w:rPr>
        <w:t>文件管理制度</w:t>
      </w:r>
      <w:r>
        <w:rPr>
          <w:rFonts w:hint="default"/>
          <w:lang w:val="en-US" w:eastAsia="zh-CN"/>
        </w:rPr>
        <w:t>》和《配置管理</w:t>
      </w:r>
      <w:r>
        <w:rPr>
          <w:rFonts w:hint="eastAsia"/>
          <w:lang w:val="en-US" w:eastAsia="zh-CN"/>
        </w:rPr>
        <w:t>制度</w:t>
      </w:r>
      <w:r>
        <w:rPr>
          <w:rFonts w:hint="default"/>
          <w:lang w:val="en-US" w:eastAsia="zh-CN"/>
        </w:rPr>
        <w:t>》实施更改，确保相关文件同步更新。</w:t>
      </w:r>
    </w:p>
    <w:p w14:paraId="7B6B67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运维部负责对变更后的实施效果进行跟踪验证。</w:t>
      </w:r>
    </w:p>
    <w:p w14:paraId="799B1DB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7015"/>
      <w:r>
        <w:rPr>
          <w:rFonts w:hint="default"/>
          <w:lang w:val="en-US" w:eastAsia="zh-CN"/>
        </w:rPr>
        <w:t>服务目录的使用</w:t>
      </w:r>
      <w:bookmarkEnd w:id="22"/>
    </w:p>
    <w:p w14:paraId="2ECF91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8136"/>
      <w:r>
        <w:rPr>
          <w:rFonts w:hint="default"/>
          <w:lang w:val="en-US" w:eastAsia="zh-CN"/>
        </w:rPr>
        <w:t>服务能力展示</w:t>
      </w:r>
      <w:bookmarkEnd w:id="23"/>
    </w:p>
    <w:p w14:paraId="6FC873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在售前及客户沟通中，可向客户展示服务目录列表，作为公司服务能力的证明。</w:t>
      </w:r>
    </w:p>
    <w:p w14:paraId="393B110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7947"/>
      <w:r>
        <w:rPr>
          <w:rFonts w:hint="default"/>
          <w:lang w:val="en-US" w:eastAsia="zh-CN"/>
        </w:rPr>
        <w:t>服务交付依据</w:t>
      </w:r>
      <w:bookmarkEnd w:id="24"/>
    </w:p>
    <w:p w14:paraId="2907E9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运维项目组必须严格按照经批准的项目级服务目录（服务详述）中规定的服务内容、级别、频次、交付物和交付方式提供服务。</w:t>
      </w:r>
    </w:p>
    <w:p w14:paraId="0BC6178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1858"/>
      <w:r>
        <w:rPr>
          <w:rFonts w:hint="default"/>
          <w:lang w:val="en-US" w:eastAsia="zh-CN"/>
        </w:rPr>
        <w:t>与其他流程的关系</w:t>
      </w:r>
      <w:bookmarkEnd w:id="25"/>
    </w:p>
    <w:p w14:paraId="2F74534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8504"/>
      <w:r>
        <w:rPr>
          <w:rFonts w:hint="default"/>
          <w:lang w:val="en-US" w:eastAsia="zh-CN"/>
        </w:rPr>
        <w:t>与服务级别管理（SLM）</w:t>
      </w:r>
      <w:bookmarkEnd w:id="26"/>
    </w:p>
    <w:p w14:paraId="1C5519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服务目录是定义服务级别协议（SLA）的基础。SLA中的服务项和指标必须源自服务目录。</w:t>
      </w:r>
    </w:p>
    <w:p w14:paraId="14C68BD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30098"/>
      <w:r>
        <w:rPr>
          <w:rFonts w:hint="default"/>
          <w:lang w:val="en-US" w:eastAsia="zh-CN"/>
        </w:rPr>
        <w:t>与配置管理</w:t>
      </w:r>
      <w:bookmarkEnd w:id="27"/>
    </w:p>
    <w:p w14:paraId="794F8E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Style w:val="42"/>
          <w:rFonts w:hint="default"/>
          <w:lang w:val="en-US" w:eastAsia="zh-CN"/>
        </w:rPr>
        <w:t>服务目录本身作为重要的配置项，需纳入配置管理数据库（CMDB）进行版本控制和管理</w:t>
      </w:r>
      <w:r>
        <w:rPr>
          <w:rFonts w:hint="default"/>
          <w:lang w:val="en-US" w:eastAsia="zh-CN"/>
        </w:rPr>
        <w:t>。</w:t>
      </w:r>
    </w:p>
    <w:p w14:paraId="4A602D0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5395"/>
      <w:r>
        <w:rPr>
          <w:rFonts w:hint="default"/>
          <w:lang w:val="en-US" w:eastAsia="zh-CN"/>
        </w:rPr>
        <w:t>检查、总结与改进</w:t>
      </w:r>
      <w:bookmarkEnd w:id="28"/>
    </w:p>
    <w:p w14:paraId="7713656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5477"/>
      <w:r>
        <w:rPr>
          <w:rFonts w:hint="default"/>
          <w:lang w:val="en-US" w:eastAsia="zh-CN"/>
        </w:rPr>
        <w:t>执行情况检查</w:t>
      </w:r>
      <w:bookmarkEnd w:id="29"/>
    </w:p>
    <w:p w14:paraId="0980C4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运维部经理定期组织检查各项目服务目录的执行情况，包括服务交付符合性、客户满意度、资源适配度等。</w:t>
      </w:r>
    </w:p>
    <w:p w14:paraId="56D68CD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8913"/>
      <w:r>
        <w:rPr>
          <w:rFonts w:hint="default"/>
          <w:lang w:val="en-US" w:eastAsia="zh-CN"/>
        </w:rPr>
        <w:t>年度总结</w:t>
      </w:r>
      <w:bookmarkEnd w:id="30"/>
    </w:p>
    <w:p w14:paraId="28C909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运维部应在年度总结中，对各项目服务目录的执行情况进行汇总分析，评估服务成效与资源使用效率。</w:t>
      </w:r>
    </w:p>
    <w:p w14:paraId="0CAB6DF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2530"/>
      <w:r>
        <w:rPr>
          <w:rFonts w:hint="default"/>
          <w:lang w:val="en-US" w:eastAsia="zh-CN"/>
        </w:rPr>
        <w:t>持续改进</w:t>
      </w:r>
      <w:bookmarkEnd w:id="31"/>
    </w:p>
    <w:p w14:paraId="001885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对检查与总结中发现的问题，应启动改进措施，必要时通过变更流程优化服务目录。</w:t>
      </w:r>
    </w:p>
    <w:p w14:paraId="09BBE1C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Style w:val="38"/>
          <w:rFonts w:hint="default" w:eastAsia="宋体"/>
          <w:lang w:val="en-US" w:eastAsia="zh-CN"/>
        </w:rPr>
      </w:pPr>
      <w:bookmarkStart w:id="32" w:name="bookmark3"/>
      <w:bookmarkEnd w:id="32"/>
      <w:bookmarkStart w:id="33" w:name="_Toc17424"/>
      <w:bookmarkStart w:id="34" w:name="_Toc17523"/>
      <w:r>
        <w:rPr>
          <w:rStyle w:val="38"/>
          <w:rFonts w:hint="eastAsia" w:eastAsia="宋体"/>
          <w:lang w:val="en-US" w:eastAsia="zh-CN"/>
        </w:rPr>
        <w:t>附则</w:t>
      </w:r>
      <w:bookmarkEnd w:id="33"/>
      <w:bookmarkEnd w:id="34"/>
    </w:p>
    <w:p w14:paraId="0D2FBC03">
      <w:pPr>
        <w:pStyle w:val="40"/>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本制度最终解释权和修订权归</w:t>
      </w:r>
      <w:r>
        <w:rPr>
          <w:rFonts w:hint="eastAsia"/>
          <w:lang w:val="en-US" w:eastAsia="zh-CN"/>
        </w:rPr>
        <w:t>运维部</w:t>
      </w:r>
      <w:r>
        <w:t>。</w:t>
      </w:r>
    </w:p>
    <w:p w14:paraId="2AAAFF89">
      <w:pPr>
        <w:pStyle w:val="40"/>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rFonts w:hint="default"/>
          <w:lang w:val="en-US" w:eastAsia="zh-CN"/>
        </w:rPr>
      </w:pPr>
      <w:r>
        <w:t>本制度自颁布之日起施行。</w:t>
      </w:r>
    </w:p>
    <w:p w14:paraId="2FF778D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bookmark14"/>
      <w:bookmarkEnd w:id="35"/>
      <w:bookmarkStart w:id="36" w:name="_Toc27473"/>
      <w:r>
        <w:rPr>
          <w:rFonts w:hint="eastAsia"/>
          <w:lang w:val="en-US" w:eastAsia="zh-CN"/>
        </w:rPr>
        <w:t>附件</w:t>
      </w:r>
      <w:bookmarkEnd w:id="36"/>
    </w:p>
    <w:p w14:paraId="360926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《变更申请书》</w:t>
      </w:r>
    </w:p>
    <w:p w14:paraId="137FB1C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24591"/>
      <w:r>
        <w:rPr>
          <w:rFonts w:hint="eastAsia"/>
          <w:lang w:val="en-US" w:eastAsia="zh-CN"/>
        </w:rPr>
        <w:t>记录</w:t>
      </w:r>
      <w:bookmarkEnd w:id="37"/>
    </w:p>
    <w:p w14:paraId="39ECCC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《组织级运维服务目录》</w:t>
      </w:r>
    </w:p>
    <w:sectPr>
      <w:headerReference r:id="rId7" w:type="first"/>
      <w:footerReference r:id="rId10" w:type="first"/>
      <w:headerReference r:id="rId5" w:type="default"/>
      <w:footerReference r:id="rId8" w:type="default"/>
      <w:headerReference r:id="rId6" w:type="even"/>
      <w:footerReference r:id="rId9" w:type="even"/>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9F6D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972E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CD0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1E68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重庆市鹧鸪哨信息技术有限责任公司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7EF8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D3DB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A27A2"/>
    <w:multiLevelType w:val="singleLevel"/>
    <w:tmpl w:val="822A27A2"/>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0E8ABBD"/>
    <w:multiLevelType w:val="singleLevel"/>
    <w:tmpl w:val="A0E8ABBD"/>
    <w:lvl w:ilvl="0" w:tentative="0">
      <w:start w:val="1"/>
      <w:numFmt w:val="decimal"/>
      <w:lvlText w:val="%1."/>
      <w:lvlJc w:val="left"/>
      <w:pPr>
        <w:ind w:left="425" w:hanging="425"/>
      </w:pPr>
      <w:rPr>
        <w:rFonts w:hint="default"/>
      </w:rPr>
    </w:lvl>
  </w:abstractNum>
  <w:abstractNum w:abstractNumId="3">
    <w:nsid w:val="C3232CFA"/>
    <w:multiLevelType w:val="singleLevel"/>
    <w:tmpl w:val="C3232CFA"/>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8035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2042</Words>
  <Characters>2312</Characters>
  <Lines>0</Lines>
  <Paragraphs>0</Paragraphs>
  <TotalTime>5</TotalTime>
  <ScaleCrop>false</ScaleCrop>
  <LinksUpToDate>false</LinksUpToDate>
  <CharactersWithSpaces>2610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2026-07-01T04:40:08Z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