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1127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ascii="黑体" w:eastAsia="黑体" w:hAnsi="黑体" w:cs="黑体" w:hint="default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</w:pPr>
      <w:r>
        <w:rPr>
          <w:rFonts w:ascii="黑体" w:eastAsia="黑体" w:hAnsi="黑体" w:cs="黑体" w:hint="default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中国广电重庆BOSS系统存储维保项目-应急演练报告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文件编号：ZGS-10-05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2025.09.16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2025.09.16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2025.09.16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09.16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_Toc11127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_Toc3856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报告基本信息</w:t>
          </w:r>
          <w:r>
            <w:tab/>
          </w:r>
          <w:r>
            <w:fldChar w:fldCharType="begin"/>
          </w:r>
          <w:r>
            <w:instrText xml:space="preserve"> PAGEREF _Toc3856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演练目的</w:t>
          </w:r>
          <w:r>
            <w:tab/>
          </w:r>
          <w:r>
            <w:fldChar w:fldCharType="begin"/>
          </w:r>
          <w:r>
            <w:instrText xml:space="preserve"> PAGEREF _Toc11399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_Toc26955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演练组织架构</w:t>
          </w:r>
          <w:r>
            <w:tab/>
          </w:r>
          <w:r>
            <w:fldChar w:fldCharType="begin"/>
          </w:r>
          <w:r>
            <w:instrText xml:space="preserve"> PAGEREF _Toc26955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_Toc27064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演练过程描述</w:t>
          </w:r>
          <w:r>
            <w:tab/>
          </w:r>
          <w:r>
            <w:fldChar w:fldCharType="begin"/>
          </w:r>
          <w:r>
            <w:instrText xml:space="preserve"> PAGEREF _Toc27064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_Toc8630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演练准备阶段（13:30-14:00）</w:t>
          </w:r>
          <w:r>
            <w:tab/>
          </w:r>
          <w:r>
            <w:fldChar w:fldCharType="begin"/>
          </w:r>
          <w:r>
            <w:instrText xml:space="preserve"> PAGEREF _Toc8630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_Toc30106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场景一：机房电力中断（14:00-14:30）</w:t>
          </w:r>
          <w:r>
            <w:tab/>
          </w:r>
          <w:r>
            <w:fldChar w:fldCharType="begin"/>
          </w:r>
          <w:r>
            <w:instrText xml:space="preserve"> PAGEREF _Toc30106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_Toc20295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场景二：核心硬件故障（14:25-15:10）</w:t>
          </w:r>
          <w:r>
            <w:tab/>
          </w:r>
          <w:r>
            <w:fldChar w:fldCharType="begin"/>
          </w:r>
          <w:r>
            <w:instrText xml:space="preserve"> PAGEREF _Toc20295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_Toc10089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t>场景三：安防审计异常（15:15-15:40）</w:t>
          </w:r>
          <w:r>
            <w:tab/>
          </w:r>
          <w:r>
            <w:fldChar w:fldCharType="begin"/>
          </w:r>
          <w:r>
            <w:instrText xml:space="preserve"> PAGEREF _Toc10089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_Toc32759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t>演练总结（15:40-16:00）</w:t>
          </w:r>
          <w:r>
            <w:tab/>
          </w:r>
          <w:r>
            <w:fldChar w:fldCharType="begin"/>
          </w:r>
          <w:r>
            <w:instrText xml:space="preserve"> PAGEREF _Toc32759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_Toc25121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演练评估</w:t>
          </w:r>
          <w:r>
            <w:tab/>
          </w:r>
          <w:r>
            <w:fldChar w:fldCharType="begin"/>
          </w:r>
          <w:r>
            <w:instrText xml:space="preserve"> PAGEREF _Toc25121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预案评估</w:t>
          </w:r>
          <w:r>
            <w:tab/>
          </w:r>
          <w:r>
            <w:fldChar w:fldCharType="begin"/>
          </w:r>
          <w:r>
            <w:instrText xml:space="preserve"> PAGEREF _Toc3094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_Toc8461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演练评估</w:t>
          </w:r>
          <w:r>
            <w:tab/>
          </w:r>
          <w:r>
            <w:fldChar w:fldCharType="begin"/>
          </w:r>
          <w:r>
            <w:instrText xml:space="preserve"> PAGEREF _Toc8461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_Toc23830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指挥评估</w:t>
          </w:r>
          <w:r>
            <w:tab/>
          </w:r>
          <w:r>
            <w:fldChar w:fldCharType="begin"/>
          </w:r>
          <w:r>
            <w:instrText xml:space="preserve"> PAGEREF _Toc23830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_Toc24032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协作评估</w:t>
          </w:r>
          <w:r>
            <w:tab/>
          </w:r>
          <w:r>
            <w:fldChar w:fldCharType="begin"/>
          </w:r>
          <w:r>
            <w:instrText xml:space="preserve"> PAGEREF _Toc24032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总体评价</w:t>
          </w:r>
          <w:r>
            <w:tab/>
          </w:r>
          <w:r>
            <w:fldChar w:fldCharType="begin"/>
          </w:r>
          <w:r>
            <w:instrText xml:space="preserve"> PAGEREF _Toc3006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_Toc17572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演练评估指标达成情况</w:t>
          </w:r>
          <w:r>
            <w:tab/>
          </w:r>
          <w:r>
            <w:fldChar w:fldCharType="begin"/>
          </w:r>
          <w:r>
            <w:instrText xml:space="preserve"> PAGEREF _Toc17572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_Toc6372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存在问题与改进措施</w:t>
          </w:r>
          <w:r>
            <w:tab/>
          </w:r>
          <w:r>
            <w:fldChar w:fldCharType="begin"/>
          </w:r>
          <w:r>
            <w:instrText xml:space="preserve"> PAGEREF _Toc6372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演练总结与建议</w:t>
          </w:r>
          <w:r>
            <w:tab/>
          </w:r>
          <w:r>
            <w:fldChar w:fldCharType="begin"/>
          </w:r>
          <w:r>
            <w:instrText xml:space="preserve"> PAGEREF _Toc3066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_Toc23848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8.1. </w:t>
          </w:r>
          <w:r>
            <w:t>演练总结</w:t>
          </w:r>
          <w:r>
            <w:tab/>
          </w:r>
          <w:r>
            <w:fldChar w:fldCharType="begin"/>
          </w:r>
          <w:r>
            <w:instrText xml:space="preserve"> PAGEREF _Toc23848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_Toc15488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8.2. </w:t>
          </w:r>
          <w:r>
            <w:t>改进建议</w:t>
          </w:r>
          <w:r>
            <w:tab/>
          </w:r>
          <w:r>
            <w:fldChar w:fldCharType="begin"/>
          </w:r>
          <w:r>
            <w:instrText xml:space="preserve"> PAGEREF _Toc15488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_Toc28479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附件</w:t>
          </w:r>
          <w:r>
            <w:tab/>
          </w:r>
          <w:r>
            <w:fldChar w:fldCharType="begin"/>
          </w:r>
          <w:r>
            <w:instrText xml:space="preserve"> PAGEREF _Toc28479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3856"/>
      <w:bookmarkStart w:id="2" w:name="heading_2"/>
      <w:r>
        <w:t>报告基本信息</w:t>
      </w:r>
      <w:bookmarkEnd w:id="1"/>
      <w:bookmarkEnd w:id="2"/>
    </w:p>
    <w:tbl>
      <w:tblPr>
        <w:tblStyle w:val="TableNormal"/>
        <w:tblW w:w="0" w:type="auto"/>
        <w:tblInd w:w="0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3"/>
        <w:gridCol w:w="5980"/>
      </w:tblGrid>
      <w:tr>
        <w:tblPrEx>
          <w:tblW w:w="0" w:type="auto"/>
          <w:tblInd w:w="0" w:type="dxa"/>
          <w:tblBorders>
            <w:top w:val="single" w:sz="0" w:space="0" w:color="DEE0E3"/>
            <w:left w:val="single" w:sz="0" w:space="0" w:color="DEE0E3"/>
            <w:bottom w:val="single" w:sz="0" w:space="0" w:color="DEE0E3"/>
            <w:right w:val="single" w:sz="0" w:space="0" w:color="DEE0E3"/>
            <w:insideH w:val="single" w:sz="0" w:space="0" w:color="DEE0E3"/>
            <w:insideV w:val="single" w:sz="0" w:space="0" w:color="DEE0E3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项目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内容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预案名称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中国广电重庆网络股份有限公司存储维保项目应急预案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演练类别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☑现场处置演练 ☑实战演练 □桌面演练 □专项演练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演练时间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2025年9月15日 14:00 至 16:00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演练地点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重庆市政务云计算大数据中心机房及运维值班室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组织单位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重庆市鹧鸪哨信息技术有限责任公司运维部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参加单位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中国广电重庆网络股份有限公司信息中心、重庆市鹧鸪哨信息技术有限责任公司运维团队、数据中心运维方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11399"/>
      <w:bookmarkStart w:id="4" w:name="heading_3"/>
      <w:r>
        <w:t>演练目的</w:t>
      </w:r>
      <w:bookmarkEnd w:id="3"/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验证应急预案可行性：检验《运维服务应急预案》（ZGS-10-03）的完整性、可操作性和有效性。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检验应急响应能力：评估应急组织架构各小组在突发故障时的协同响应能力。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提升实战处置技能：针对托管服务典型故障场景（机房电力中断、硬件故障、安防审计异常），锻炼运维团队的故障诊断、应急处置和恢复能力。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发现薄弱环节：通过演练暴露应急预案及应急准备中的不足，为后续优化提供依据。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heading_4"/>
      <w:bookmarkStart w:id="6" w:name="_Toc26955"/>
      <w:r>
        <w:t>演练组织架构</w:t>
      </w:r>
      <w:bookmarkEnd w:id="5"/>
      <w:bookmarkEnd w:id="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32"/>
        <w:gridCol w:w="2608"/>
        <w:gridCol w:w="448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3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角色</w:t>
            </w:r>
          </w:p>
        </w:tc>
        <w:tc>
          <w:tcPr>
            <w:tcW w:w="260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人员</w:t>
            </w:r>
          </w:p>
        </w:tc>
        <w:tc>
          <w:tcPr>
            <w:tcW w:w="448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职责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3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总指挥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运维部经理</w:t>
            </w:r>
          </w:p>
        </w:tc>
        <w:tc>
          <w:tcPr>
            <w:tcW w:w="44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统筹演练全局，下达应急启动/终止指令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3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副总指挥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运维项目经理</w:t>
            </w:r>
          </w:p>
        </w:tc>
        <w:tc>
          <w:tcPr>
            <w:tcW w:w="44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协调甲方资源，确认恢复结果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3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技术保障组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运维工程师（2人）</w:t>
            </w:r>
          </w:p>
        </w:tc>
        <w:tc>
          <w:tcPr>
            <w:tcW w:w="44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故障诊断、技术方案制定、硬件恢复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3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现场抢险组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数据中心运维人员</w:t>
            </w:r>
          </w:p>
        </w:tc>
        <w:tc>
          <w:tcPr>
            <w:tcW w:w="44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现场环境控制、设备检查、初期险情控制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3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信息联络组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服务台</w:t>
            </w:r>
          </w:p>
        </w:tc>
        <w:tc>
          <w:tcPr>
            <w:tcW w:w="44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信息通报、过程记录、对接客户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3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后勤支持组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cs="Arial" w:hint="eastAsia"/>
                <w:sz w:val="22"/>
                <w:lang w:val="en-US" w:eastAsia="zh-CN"/>
              </w:rPr>
              <w:t>采购部</w:t>
            </w:r>
          </w:p>
        </w:tc>
        <w:tc>
          <w:tcPr>
            <w:tcW w:w="44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物资调配、厂商联系、后勤服务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27064"/>
      <w:bookmarkStart w:id="8" w:name="heading_5"/>
      <w:r>
        <w:t>演练过程描述</w:t>
      </w:r>
      <w:bookmarkEnd w:id="7"/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本次演练围绕存储维保服务核心风险设置三个连续模拟场景，完整检验应急预案的可行性和团队的应急处置能力。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heading_6"/>
      <w:bookmarkStart w:id="10" w:name="_Toc8630"/>
      <w:r>
        <w:t>演练准备阶段（13:30-14:00）</w:t>
      </w:r>
      <w:bookmarkEnd w:id="9"/>
      <w:bookmarkEnd w:id="1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33"/>
        <w:gridCol w:w="708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3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时间</w:t>
            </w:r>
          </w:p>
        </w:tc>
        <w:tc>
          <w:tcPr>
            <w:tcW w:w="708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活动内容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13:30-13:40</w:t>
            </w:r>
          </w:p>
        </w:tc>
        <w:tc>
          <w:tcPr>
            <w:tcW w:w="70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检查演练环境，确认备用物资（应急U盘、通讯录、演练记录表）到位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13:40-13:50</w:t>
            </w:r>
          </w:p>
        </w:tc>
        <w:tc>
          <w:tcPr>
            <w:tcW w:w="70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确认演练不影响甲方生产系统，通知数据中心运维方演练计划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3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13:50-14:00</w:t>
            </w:r>
          </w:p>
        </w:tc>
        <w:tc>
          <w:tcPr>
            <w:tcW w:w="70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通知甲方演练计划，确认甲方参与人员就位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7"/>
      <w:bookmarkStart w:id="12" w:name="_Toc30106"/>
      <w:r>
        <w:t>场景一：机房电力中断（14:00-14:30）</w:t>
      </w:r>
      <w:bookmarkEnd w:id="11"/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故障模拟：模拟数据中心市电供应突然中断，UPS电池开始放电，柴油发电机未自动启动。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64"/>
        <w:gridCol w:w="755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96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时间</w:t>
            </w:r>
          </w:p>
        </w:tc>
        <w:tc>
          <w:tcPr>
            <w:tcW w:w="755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事件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6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14:00</w:t>
            </w:r>
          </w:p>
        </w:tc>
        <w:tc>
          <w:tcPr>
            <w:tcW w:w="75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模拟故障触发，市电中断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6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14:02</w:t>
            </w:r>
          </w:p>
        </w:tc>
        <w:tc>
          <w:tcPr>
            <w:tcW w:w="75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监控系统告警，运维人员发现电力异常，立即上报应急指挥部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6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14:04</w:t>
            </w:r>
          </w:p>
        </w:tc>
        <w:tc>
          <w:tcPr>
            <w:tcW w:w="75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总指挥宋海滨判定为P1级重大故障，启动应急响应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6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14:06</w:t>
            </w:r>
          </w:p>
        </w:tc>
        <w:tc>
          <w:tcPr>
            <w:tcW w:w="75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技术保障组联系数据中心运维方，确认UPS剩余供电时间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6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14:08</w:t>
            </w:r>
          </w:p>
        </w:tc>
        <w:tc>
          <w:tcPr>
            <w:tcW w:w="75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现场抢险组手动启动柴油发电机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6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14:12</w:t>
            </w:r>
          </w:p>
        </w:tc>
        <w:tc>
          <w:tcPr>
            <w:tcW w:w="75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发电机启动成功，电力恢复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6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14:15</w:t>
            </w:r>
          </w:p>
        </w:tc>
        <w:tc>
          <w:tcPr>
            <w:tcW w:w="75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技术保障组验证设备状态，确认所有托管设备正常运行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6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14:18</w:t>
            </w:r>
          </w:p>
        </w:tc>
        <w:tc>
          <w:tcPr>
            <w:tcW w:w="75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信息联络组向甲方通报恢复结果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6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14:20</w:t>
            </w:r>
          </w:p>
        </w:tc>
        <w:tc>
          <w:tcPr>
            <w:tcW w:w="75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演练转入下一场景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演练成果：</w:t>
      </w:r>
    </w:p>
    <w:p>
      <w:pPr>
        <w:pStyle w:val="a3"/>
        <w:numPr>
          <w:ilvl w:val="0"/>
          <w:numId w:val="2"/>
        </w:numPr>
        <w:bidi w:val="0"/>
      </w:pPr>
      <w:r>
        <w:t>故障发现时间：2分钟（优于目标≤3分钟）</w:t>
      </w:r>
    </w:p>
    <w:p>
      <w:pPr>
        <w:pStyle w:val="a3"/>
        <w:numPr>
          <w:ilvl w:val="0"/>
          <w:numId w:val="2"/>
        </w:numPr>
        <w:bidi w:val="0"/>
      </w:pPr>
      <w:r>
        <w:t>应急启动时间：4分钟（优于目标≤10分钟）</w:t>
      </w:r>
    </w:p>
    <w:p>
      <w:pPr>
        <w:pStyle w:val="a3"/>
        <w:numPr>
          <w:ilvl w:val="0"/>
          <w:numId w:val="2"/>
        </w:numPr>
        <w:bidi w:val="0"/>
      </w:pPr>
      <w:r>
        <w:t>电力恢复时间：12分钟（优于目标≤2小时）</w:t>
      </w:r>
    </w:p>
    <w:p>
      <w:pPr>
        <w:pStyle w:val="a3"/>
        <w:numPr>
          <w:ilvl w:val="0"/>
          <w:numId w:val="2"/>
        </w:numPr>
        <w:bidi w:val="0"/>
      </w:pPr>
      <w:r>
        <w:t>设备完好率：100%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8"/>
      <w:bookmarkStart w:id="14" w:name="_Toc20295"/>
      <w:r>
        <w:t>场景二：核心硬件故障（14:25-15:10）</w:t>
      </w:r>
      <w:bookmarkEnd w:id="13"/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故障模拟：模拟一台超融合节点（Lenovo SR660V2）突然宕机，服务器无法启动。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881"/>
        <w:gridCol w:w="764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88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时间</w:t>
            </w:r>
          </w:p>
        </w:tc>
        <w:tc>
          <w:tcPr>
            <w:tcW w:w="764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事件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8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14:25</w:t>
            </w:r>
          </w:p>
        </w:tc>
        <w:tc>
          <w:tcPr>
            <w:tcW w:w="76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模拟故障触发，超融合节点宕机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8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14:27</w:t>
            </w:r>
          </w:p>
        </w:tc>
        <w:tc>
          <w:tcPr>
            <w:tcW w:w="76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监控系统告警，运维工程师发现硬件故障，立即上报应急指挥部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8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14:30</w:t>
            </w:r>
          </w:p>
        </w:tc>
        <w:tc>
          <w:tcPr>
            <w:tcW w:w="76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总指挥判定为P1级重大故障，启动Ⅰ级响应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8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14:33</w:t>
            </w:r>
          </w:p>
        </w:tc>
        <w:tc>
          <w:tcPr>
            <w:tcW w:w="76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技术保障组收集故障信息（日志、告警灯状态），初步诊断故障原因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8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14:38</w:t>
            </w:r>
          </w:p>
        </w:tc>
        <w:tc>
          <w:tcPr>
            <w:tcW w:w="76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技术保障组联系设备厂商，提交报修申请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8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14:45</w:t>
            </w:r>
          </w:p>
        </w:tc>
        <w:tc>
          <w:tcPr>
            <w:tcW w:w="76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向甲方提供临时环境建议（业务调整方案）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8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14:50</w:t>
            </w:r>
          </w:p>
        </w:tc>
        <w:tc>
          <w:tcPr>
            <w:tcW w:w="76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信息联络组向甲方通报处置进展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8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15:00</w:t>
            </w:r>
          </w:p>
        </w:tc>
        <w:tc>
          <w:tcPr>
            <w:tcW w:w="76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厂商确认报修，预计48小时内到场维修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8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15:05</w:t>
            </w:r>
          </w:p>
        </w:tc>
        <w:tc>
          <w:tcPr>
            <w:tcW w:w="76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信息联络组向甲方通报维修安排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8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15:10</w:t>
            </w:r>
          </w:p>
        </w:tc>
        <w:tc>
          <w:tcPr>
            <w:tcW w:w="76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演练转入下一场景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演练成果：</w:t>
      </w:r>
    </w:p>
    <w:p>
      <w:pPr>
        <w:pStyle w:val="a3"/>
        <w:numPr>
          <w:ilvl w:val="0"/>
          <w:numId w:val="3"/>
        </w:numPr>
        <w:bidi w:val="0"/>
      </w:pPr>
      <w:r>
        <w:t>故障上报时间：2分钟（优于目标≤5分钟）</w:t>
      </w:r>
    </w:p>
    <w:p>
      <w:pPr>
        <w:pStyle w:val="a3"/>
        <w:numPr>
          <w:ilvl w:val="0"/>
          <w:numId w:val="3"/>
        </w:numPr>
        <w:bidi w:val="0"/>
      </w:pPr>
      <w:r>
        <w:t>应急启动时间：3分钟（优于目标≤10分钟）</w:t>
      </w:r>
    </w:p>
    <w:p>
      <w:pPr>
        <w:pStyle w:val="a3"/>
        <w:numPr>
          <w:ilvl w:val="0"/>
          <w:numId w:val="3"/>
        </w:numPr>
        <w:bidi w:val="0"/>
      </w:pPr>
      <w:r>
        <w:t>厂商报修完成时间：12分钟</w:t>
      </w:r>
    </w:p>
    <w:p>
      <w:pPr>
        <w:pStyle w:val="a3"/>
        <w:numPr>
          <w:ilvl w:val="0"/>
          <w:numId w:val="3"/>
        </w:numPr>
        <w:bidi w:val="0"/>
      </w:pPr>
      <w:r>
        <w:t>临时环境建议：已提供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_Toc10089"/>
      <w:bookmarkStart w:id="16" w:name="heading_9"/>
      <w:r>
        <w:t>场景三：安防审计异常（15:15-15:40）</w:t>
      </w:r>
      <w:bookmarkEnd w:id="15"/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故障模拟：模拟日志审计系统出现异常告警，审计日志停止收集，数据库审计Agent离线。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46"/>
        <w:gridCol w:w="737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4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时间</w:t>
            </w:r>
          </w:p>
        </w:tc>
        <w:tc>
          <w:tcPr>
            <w:tcW w:w="737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事件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15:15</w:t>
            </w:r>
          </w:p>
        </w:tc>
        <w:tc>
          <w:tcPr>
            <w:tcW w:w="73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模拟故障触发，审计Agent离线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15:18</w:t>
            </w:r>
          </w:p>
        </w:tc>
        <w:tc>
          <w:tcPr>
            <w:tcW w:w="73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运维工程师发现审计异常，上报技术保障组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15:22</w:t>
            </w:r>
          </w:p>
        </w:tc>
        <w:tc>
          <w:tcPr>
            <w:tcW w:w="73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技术保障组检查审计Agent状态，确认Agent离线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15:26</w:t>
            </w:r>
          </w:p>
        </w:tc>
        <w:tc>
          <w:tcPr>
            <w:tcW w:w="73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尝试重启审计Agent服务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15:30</w:t>
            </w:r>
          </w:p>
        </w:tc>
        <w:tc>
          <w:tcPr>
            <w:tcW w:w="73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Agent恢复在线，审计日志重新开始收集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15:33</w:t>
            </w:r>
          </w:p>
        </w:tc>
        <w:tc>
          <w:tcPr>
            <w:tcW w:w="73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技术保障组验证日志完整性，确认无安全事件遗漏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15:36</w:t>
            </w:r>
          </w:p>
        </w:tc>
        <w:tc>
          <w:tcPr>
            <w:tcW w:w="73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信息联络组向甲方通报处置结果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15:40</w:t>
            </w:r>
          </w:p>
        </w:tc>
        <w:tc>
          <w:tcPr>
            <w:tcW w:w="73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演练结束，转入总结环节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演练成果：</w:t>
      </w:r>
    </w:p>
    <w:p>
      <w:pPr>
        <w:pStyle w:val="a3"/>
        <w:numPr>
          <w:ilvl w:val="0"/>
          <w:numId w:val="4"/>
        </w:numPr>
        <w:bidi w:val="0"/>
      </w:pPr>
      <w:r>
        <w:t>故障上报时间：3分钟（优于目标≤10分钟）</w:t>
      </w:r>
    </w:p>
    <w:p>
      <w:pPr>
        <w:pStyle w:val="a3"/>
        <w:numPr>
          <w:ilvl w:val="0"/>
          <w:numId w:val="4"/>
        </w:numPr>
        <w:bidi w:val="0"/>
      </w:pPr>
      <w:r>
        <w:t>审计恢复时间：12分钟</w:t>
      </w:r>
    </w:p>
    <w:p>
      <w:pPr>
        <w:pStyle w:val="a3"/>
        <w:numPr>
          <w:ilvl w:val="0"/>
          <w:numId w:val="4"/>
        </w:numPr>
        <w:bidi w:val="0"/>
      </w:pPr>
      <w:r>
        <w:t>日志完整性：100%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10"/>
      <w:bookmarkStart w:id="18" w:name="_Toc32759"/>
      <w:r>
        <w:t>演练总结（15:40-16:00）</w:t>
      </w:r>
      <w:bookmarkEnd w:id="17"/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所有人员在指定会议室集合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各小组简要自评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观察评估组发布初步评估发现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总指挥进行总结，宣布演练结束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heading_11"/>
      <w:bookmarkStart w:id="20" w:name="_Toc25121"/>
      <w:r>
        <w:t>演练评估</w:t>
      </w:r>
      <w:bookmarkEnd w:id="19"/>
      <w:bookmarkEnd w:id="20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heading_12"/>
      <w:bookmarkStart w:id="22" w:name="_Toc3094"/>
      <w:r>
        <w:t>预案评估</w:t>
      </w:r>
      <w:bookmarkEnd w:id="21"/>
      <w:bookmarkEnd w:id="2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04"/>
        <w:gridCol w:w="731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0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评估项</w:t>
            </w:r>
          </w:p>
        </w:tc>
        <w:tc>
          <w:tcPr>
            <w:tcW w:w="731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评估结果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/>
                <w:sz w:val="22"/>
              </w:rPr>
              <w:t>适宜性</w:t>
            </w:r>
          </w:p>
        </w:tc>
        <w:tc>
          <w:tcPr>
            <w:tcW w:w="73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☑全部能够执行 □执行过程不够顺利 □明显不适宜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/>
                <w:sz w:val="22"/>
              </w:rPr>
              <w:t>充分性</w:t>
            </w:r>
          </w:p>
        </w:tc>
        <w:tc>
          <w:tcPr>
            <w:tcW w:w="73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☑完全满足应急要求 □基本满足需要完善 □不充分，必须修改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0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/>
                <w:sz w:val="22"/>
              </w:rPr>
              <w:t>覆盖范围</w:t>
            </w:r>
          </w:p>
        </w:tc>
        <w:tc>
          <w:tcPr>
            <w:tcW w:w="73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应急预案覆盖了托管服务主要故障场景（电力中断、硬件故障、安防审计异常），应急流程设计合理，资源配置明确，具备完整性和可操作性。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_Toc8461"/>
      <w:bookmarkStart w:id="24" w:name="heading_13"/>
      <w:r>
        <w:t>演练评估</w:t>
      </w:r>
      <w:bookmarkEnd w:id="23"/>
      <w:bookmarkEnd w:id="2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670"/>
        <w:gridCol w:w="685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67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评估项</w:t>
            </w:r>
          </w:p>
        </w:tc>
        <w:tc>
          <w:tcPr>
            <w:tcW w:w="685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评估结果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/>
                <w:sz w:val="22"/>
              </w:rPr>
              <w:t>人员到位情况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☑迅速准确 □基本按时到位 □个别人员不到位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/>
                <w:sz w:val="22"/>
              </w:rPr>
              <w:t>职责明确情况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☑职责明确，操作熟练 □操作不够熟练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/>
                <w:sz w:val="22"/>
              </w:rPr>
              <w:t>物资到位情况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☑现场物资充分，全部有效 □准备不充分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/>
                <w:sz w:val="22"/>
              </w:rPr>
              <w:t>协调组织情况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☑协调基本顺利，能满足要求 □效率低，有待改进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/>
                <w:sz w:val="22"/>
              </w:rPr>
              <w:t>联动机制评估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bidi w:val="0"/>
              <w:rPr>
                <w:rFonts w:ascii="Arial" w:eastAsia="等线"/>
              </w:rPr>
            </w:pPr>
            <w:bookmarkStart w:id="25" w:name="_GoBack"/>
            <w:r>
              <w:t>与数据中心运维方联动顺畅，演练过程中信息联络组实时接收进展通报，并对恢复结果进行确认，验证了外部沟通机制的有效性。</w:t>
            </w:r>
            <w:bookmarkEnd w:id="25"/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6" w:name="_Toc23830"/>
      <w:bookmarkStart w:id="27" w:name="heading_14"/>
      <w:r>
        <w:t>指挥评估</w:t>
      </w:r>
      <w:bookmarkEnd w:id="26"/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应急指挥体系指令清晰、决策果断，总指挥能根据故障等级合理调配资源，信息联络组实时通报进展，指挥链条畅通。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heading_15"/>
      <w:bookmarkStart w:id="29" w:name="_Toc24032"/>
      <w:r>
        <w:t>协作评估</w:t>
      </w:r>
      <w:bookmarkEnd w:id="28"/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技术保障组、现场抢险组、信息联络组之间配合默契，信息共享及时，职责边界清晰，未出现推诿或协调卡顿现象。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0" w:name="heading_16"/>
      <w:bookmarkStart w:id="31" w:name="_Toc3006"/>
      <w:r>
        <w:t>总体评价</w:t>
      </w:r>
      <w:bookmarkEnd w:id="30"/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本次综合演练全面检验了应急体系的实用性与可靠性，各环节执行规范，响应时效、处置质量均达到或优于预定目标：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633"/>
        <w:gridCol w:w="488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3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评估维度</w:t>
            </w:r>
          </w:p>
        </w:tc>
        <w:tc>
          <w:tcPr>
            <w:tcW w:w="488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达成情况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6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故障上报时间</w:t>
            </w:r>
          </w:p>
        </w:tc>
        <w:tc>
          <w:tcPr>
            <w:tcW w:w="48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2-3分钟（目标≤5分钟）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6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应急响应启动时间</w:t>
            </w:r>
          </w:p>
        </w:tc>
        <w:tc>
          <w:tcPr>
            <w:tcW w:w="48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3-4分钟（目标≤10分钟）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6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电力恢复时间</w:t>
            </w:r>
          </w:p>
        </w:tc>
        <w:tc>
          <w:tcPr>
            <w:tcW w:w="48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12分钟（目标≤2小时）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6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厂商报修完成</w:t>
            </w:r>
          </w:p>
        </w:tc>
        <w:tc>
          <w:tcPr>
            <w:tcW w:w="48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12分钟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6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审计恢复时间</w:t>
            </w:r>
          </w:p>
        </w:tc>
        <w:tc>
          <w:tcPr>
            <w:tcW w:w="48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12分钟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6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设备完好率</w:t>
            </w:r>
          </w:p>
        </w:tc>
        <w:tc>
          <w:tcPr>
            <w:tcW w:w="48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63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甲方业务验证</w:t>
            </w:r>
          </w:p>
        </w:tc>
        <w:tc>
          <w:tcPr>
            <w:tcW w:w="48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核心功能可用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演练达到了检验预案、锻炼队伍的预期目标。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2" w:name="heading_17"/>
      <w:bookmarkStart w:id="33" w:name="_Toc17572"/>
      <w:r>
        <w:t>演练评估指标达成情况</w:t>
      </w:r>
      <w:bookmarkEnd w:id="32"/>
      <w:bookmarkEnd w:id="3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888"/>
        <w:gridCol w:w="2246"/>
        <w:gridCol w:w="1783"/>
        <w:gridCol w:w="160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88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指标项</w:t>
            </w:r>
          </w:p>
        </w:tc>
        <w:tc>
          <w:tcPr>
            <w:tcW w:w="224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78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实际达成</w:t>
            </w:r>
          </w:p>
        </w:tc>
        <w:tc>
          <w:tcPr>
            <w:tcW w:w="16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是否达标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8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故障发现时间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≤3分钟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2分钟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达标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8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故障上报时间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≤5分钟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2-3分钟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达标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8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应急响应启动时间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≤10分钟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3-4分钟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达标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8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电力恢复时间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≤2小时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12分钟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达标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8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厂商报修完成时间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≤30分钟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12分钟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达标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8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审计恢复时间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≤5个工作日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12分钟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达标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8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信息通报及时率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100%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达标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88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甲方业务验证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核心功能可用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100%可用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达标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4" w:name="heading_18"/>
      <w:bookmarkStart w:id="35" w:name="_Toc6372"/>
      <w:r>
        <w:t>存在问题与改进措施</w:t>
      </w:r>
      <w:bookmarkEnd w:id="34"/>
      <w:bookmarkEnd w:id="35"/>
    </w:p>
    <w:tbl>
      <w:tblPr>
        <w:tblStyle w:val="TableNormal"/>
        <w:tblW w:w="852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940"/>
        <w:gridCol w:w="724"/>
        <w:gridCol w:w="2319"/>
        <w:gridCol w:w="1571"/>
        <w:gridCol w:w="1354"/>
      </w:tblGrid>
      <w:tr>
        <w:tblPrEx>
          <w:tblW w:w="852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9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问题描述</w:t>
            </w:r>
          </w:p>
        </w:tc>
        <w:tc>
          <w:tcPr>
            <w:tcW w:w="72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影响程度</w:t>
            </w:r>
          </w:p>
        </w:tc>
        <w:tc>
          <w:tcPr>
            <w:tcW w:w="23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改进措施</w:t>
            </w:r>
          </w:p>
        </w:tc>
        <w:tc>
          <w:tcPr>
            <w:tcW w:w="157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35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>
        <w:tblPrEx>
          <w:tblW w:w="8529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硬件故障诊断依赖人工经验，缺少标准化诊断流程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中</w:t>
            </w:r>
          </w:p>
        </w:tc>
        <w:tc>
          <w:tcPr>
            <w:tcW w:w="23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制定《硬件故障诊断标准操作流程》，明确诊断步骤和判断标准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2025年10月底</w:t>
            </w:r>
          </w:p>
        </w:tc>
      </w:tr>
      <w:tr>
        <w:tblPrEx>
          <w:tblW w:w="8529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应急通讯录未包含数据中心运维方24小时联系方式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低</w:t>
            </w:r>
          </w:p>
        </w:tc>
        <w:tc>
          <w:tcPr>
            <w:tcW w:w="23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补充数据中心运维方24小时联系方式，更新应急通讯录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服务台专员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2025年9月底</w:t>
            </w:r>
          </w:p>
        </w:tc>
      </w:tr>
      <w:tr>
        <w:tblPrEx>
          <w:tblW w:w="8529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备用物资存放位置未明确标识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低</w:t>
            </w:r>
          </w:p>
        </w:tc>
        <w:tc>
          <w:tcPr>
            <w:tcW w:w="23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明确备用物资存放位置，建立物资台账，张贴标识牌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后勤支持组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2025年9月底</w:t>
            </w:r>
          </w:p>
        </w:tc>
      </w:tr>
      <w:tr>
        <w:tblPrEx>
          <w:tblW w:w="8529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安防审计告警规则存在少量误报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低</w:t>
            </w:r>
          </w:p>
        </w:tc>
        <w:tc>
          <w:tcPr>
            <w:tcW w:w="23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持续优化审计规则，减少误报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2025年10月底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6" w:name="heading_19"/>
      <w:bookmarkStart w:id="37" w:name="_Toc3066"/>
      <w:r>
        <w:t>演练总结与建议</w:t>
      </w:r>
      <w:bookmarkEnd w:id="36"/>
      <w:bookmarkEnd w:id="3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8" w:name="heading_20"/>
      <w:bookmarkStart w:id="39" w:name="_Toc23848"/>
      <w:r>
        <w:t>演练总结</w:t>
      </w:r>
      <w:bookmarkEnd w:id="38"/>
      <w:bookmarkEnd w:id="3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应急体系运行有效：本次演练验证了应急预案的完整性和可操作性，应急组织架构运转顺畅，各小组职责明确、协同高效。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响应时效优于目标：各场景的故障发现、应急启动、恢复时间均优于预案规定时限，体现了团队良好的应急响应能力。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物资准备充分：演练前物资检查确认所有备用物资可用，应急物资满足演练需求。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外部协同顺畅：与数据中心运维方、设备厂商的联动机制验证有效。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0" w:name="heading_21"/>
      <w:bookmarkStart w:id="41" w:name="_Toc15488"/>
      <w:r>
        <w:t>改进建议</w:t>
      </w:r>
      <w:bookmarkEnd w:id="40"/>
      <w:bookmarkEnd w:id="4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优化硬件故障诊断流程：建议制定标准化诊断流程，减少对个人经验的依赖，提升诊断效率和准确性。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完善应急通讯机制：建议补充数据中心运维方24小时联系方式，确保全天候应急响应畅通。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加强物资管理：建议建立应急物资台账，明确存放位置，定期盘点，确保物资随时可用。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持续优化安防审计：建议持续优化审计规则，减少误报，提升告警准确率。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2" w:name="_Toc28479"/>
      <w:bookmarkStart w:id="43" w:name="heading_22"/>
      <w:r>
        <w:t>附件</w:t>
      </w:r>
      <w:bookmarkEnd w:id="42"/>
      <w:bookmarkEnd w:id="4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《应急演练评估表》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《应急通讯联络表》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《应急处置过程记录表》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《演练问题整改跟踪表》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8EE89347"/>
    <w:multiLevelType w:val="singleLevel"/>
    <w:tmpl w:val="8EE8934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F1908D7"/>
    <w:multiLevelType w:val="singleLevel"/>
    <w:tmpl w:val="1F1908D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C4C01CE"/>
    <w:multiLevelType w:val="singleLevel"/>
    <w:tmpl w:val="7C4C01C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link w:val="3Char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character" w:customStyle="1" w:styleId="3Char">
    <w:name w:val="柴_标题3 Char"/>
    <w:link w:val="3"/>
    <w:qFormat/>
    <w:rPr>
      <w:rFonts w:ascii="宋体" w:eastAsia="宋体" w:hAnsi="宋体" w:cs="宋体"/>
      <w:spacing w:val="-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1993</Words>
  <Characters>2419</Characters>
  <Application>Microsoft Office Word</Application>
  <DocSecurity>0</DocSecurity>
  <Lines>0</Lines>
  <Paragraphs>0</Paragraphs>
  <ScaleCrop>false</ScaleCrop>
  <Company/>
  <LinksUpToDate>false</LinksUpToDate>
  <CharactersWithSpaces>2519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2026-05-26T16:31:05Z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