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4258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>
      <w:pPr>
        <w:keepNext w:val="0"/>
        <w:keepLines w:val="0"/>
        <w:pageBreakBefore w:val="0"/>
        <w:widowControl w:val="0"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ascii="黑体" w:eastAsia="黑体" w:hAnsi="黑体" w:cs="黑体" w:hint="default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</w:pPr>
      <w:r>
        <w:rPr>
          <w:rFonts w:ascii="黑体" w:eastAsia="黑体" w:hAnsi="黑体" w:cs="黑体" w:hint="eastAsia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  <w:t>2025年度应急工作总结报告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文件编号：ZGS-10-06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2026.01.15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2026.01.15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批准人:宋海滨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2026.01.15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2026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01.15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宋海滨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_Toc24258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_Toc24258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_Toc3394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年度工作概述</w:t>
          </w:r>
          <w:r>
            <w:tab/>
          </w:r>
          <w:r>
            <w:fldChar w:fldCharType="begin"/>
          </w:r>
          <w:r>
            <w:instrText xml:space="preserve"> PAGEREF _Toc3394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_Toc6058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应急体系建设</w:t>
          </w:r>
          <w:r>
            <w:tab/>
          </w:r>
          <w:r>
            <w:fldChar w:fldCharType="begin"/>
          </w:r>
          <w:r>
            <w:instrText xml:space="preserve"> PAGEREF _Toc6058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_Toc11498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制度文件建设</w:t>
          </w:r>
          <w:r>
            <w:tab/>
          </w:r>
          <w:r>
            <w:fldChar w:fldCharType="begin"/>
          </w:r>
          <w:r>
            <w:instrText xml:space="preserve"> PAGEREF _Toc11498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_Toc11568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应急组织架构</w:t>
          </w:r>
          <w:r>
            <w:tab/>
          </w:r>
          <w:r>
            <w:fldChar w:fldCharType="begin"/>
          </w:r>
          <w:r>
            <w:instrText xml:space="preserve"> PAGEREF _Toc11568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_Toc5116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t>应急物资保障</w:t>
          </w:r>
          <w:r>
            <w:tab/>
          </w:r>
          <w:r>
            <w:fldChar w:fldCharType="begin"/>
          </w:r>
          <w:r>
            <w:instrText xml:space="preserve"> PAGEREF _Toc5116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_Toc29104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2.4. </w:t>
          </w:r>
          <w:r>
            <w:t>应急预案覆盖范围</w:t>
          </w:r>
          <w:r>
            <w:tab/>
          </w:r>
          <w:r>
            <w:fldChar w:fldCharType="begin"/>
          </w:r>
          <w:r>
            <w:instrText xml:space="preserve"> PAGEREF _Toc29104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应急演练开展情况</w:t>
          </w:r>
          <w:r>
            <w:tab/>
          </w:r>
          <w:r>
            <w:fldChar w:fldCharType="begin"/>
          </w:r>
          <w:r>
            <w:instrText xml:space="preserve"> PAGEREF _Toc1916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_Toc18893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演练概况</w:t>
          </w:r>
          <w:r>
            <w:tab/>
          </w:r>
          <w:r>
            <w:fldChar w:fldCharType="begin"/>
          </w:r>
          <w:r>
            <w:instrText xml:space="preserve"> PAGEREF _Toc18893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演练场景与成果</w:t>
          </w:r>
          <w:r>
            <w:tab/>
          </w:r>
          <w:r>
            <w:fldChar w:fldCharType="begin"/>
          </w:r>
          <w:r>
            <w:instrText xml:space="preserve"> PAGEREF _Toc1646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_Toc22974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t>演练成效</w:t>
          </w:r>
          <w:r>
            <w:tab/>
          </w:r>
          <w:r>
            <w:fldChar w:fldCharType="begin"/>
          </w:r>
          <w:r>
            <w:instrText xml:space="preserve"> PAGEREF _Toc22974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_Toc18533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应急事件处置情况</w:t>
          </w:r>
          <w:r>
            <w:tab/>
          </w:r>
          <w:r>
            <w:fldChar w:fldCharType="begin"/>
          </w:r>
          <w:r>
            <w:instrText xml:space="preserve"> PAGEREF _Toc18533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_Toc30237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年度应急事件统计</w:t>
          </w:r>
          <w:r>
            <w:tab/>
          </w:r>
          <w:r>
            <w:fldChar w:fldCharType="begin"/>
          </w:r>
          <w:r>
            <w:instrText xml:space="preserve"> PAGEREF _Toc30237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_Toc9629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典型事件处置</w:t>
          </w:r>
          <w:r>
            <w:tab/>
          </w:r>
          <w:r>
            <w:fldChar w:fldCharType="begin"/>
          </w:r>
          <w:r>
            <w:instrText xml:space="preserve"> PAGEREF _Toc9629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_Toc15384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t>应急处置能力评估</w:t>
          </w:r>
          <w:r>
            <w:tab/>
          </w:r>
          <w:r>
            <w:fldChar w:fldCharType="begin"/>
          </w:r>
          <w:r>
            <w:instrText xml:space="preserve"> PAGEREF _Toc15384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_Toc23782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存在问题与改进措施</w:t>
          </w:r>
          <w:r>
            <w:tab/>
          </w:r>
          <w:r>
            <w:fldChar w:fldCharType="begin"/>
          </w:r>
          <w:r>
            <w:instrText xml:space="preserve"> PAGEREF _Toc23782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_Toc5167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年度问题整改情况</w:t>
          </w:r>
          <w:r>
            <w:tab/>
          </w:r>
          <w:r>
            <w:fldChar w:fldCharType="begin"/>
          </w:r>
          <w:r>
            <w:instrText xml:space="preserve"> PAGEREF _Toc5167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_Toc3561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年度整改成效</w:t>
          </w:r>
          <w:r>
            <w:tab/>
          </w:r>
          <w:r>
            <w:fldChar w:fldCharType="begin"/>
          </w:r>
          <w:r>
            <w:instrText xml:space="preserve"> PAGEREF _Toc3561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_Toc15337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下年度工作计划</w:t>
          </w:r>
          <w:r>
            <w:tab/>
          </w:r>
          <w:r>
            <w:fldChar w:fldCharType="begin"/>
          </w:r>
          <w:r>
            <w:instrText xml:space="preserve"> PAGEREF _Toc15337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_Toc12943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应急体系建设计划</w:t>
          </w:r>
          <w:r>
            <w:tab/>
          </w:r>
          <w:r>
            <w:fldChar w:fldCharType="begin"/>
          </w:r>
          <w:r>
            <w:instrText xml:space="preserve"> PAGEREF _Toc12943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_Toc5666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t>应急演练计划</w:t>
          </w:r>
          <w:r>
            <w:tab/>
          </w:r>
          <w:r>
            <w:fldChar w:fldCharType="begin"/>
          </w:r>
          <w:r>
            <w:instrText xml:space="preserve"> PAGEREF _Toc5666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_Toc30856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6.3. </w:t>
          </w:r>
          <w:r>
            <w:t>能力提升计划</w:t>
          </w:r>
          <w:r>
            <w:tab/>
          </w:r>
          <w:r>
            <w:fldChar w:fldCharType="begin"/>
          </w:r>
          <w:r>
            <w:instrText xml:space="preserve"> PAGEREF _Toc30856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_Toc16100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附件</w:t>
          </w:r>
          <w:r>
            <w:tab/>
          </w:r>
          <w:r>
            <w:fldChar w:fldCharType="begin"/>
          </w:r>
          <w:r>
            <w:instrText xml:space="preserve"> PAGEREF _Toc16100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heading_2"/>
      <w:bookmarkStart w:id="2" w:name="_Toc3394"/>
      <w:r>
        <w:t>年度工作概述</w:t>
      </w:r>
      <w:bookmarkEnd w:id="1"/>
      <w:bookmarkEnd w:id="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2025年度，运维团队围绕“预防为主、防治结合”的应急管理工作方针，系统开展了应急体系建设、应急预案编制、应急演练实施等工作，全面提升了托管服务的应急响应能力和故障处置效率。</w:t>
      </w:r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bookmarkStart w:id="3" w:name="heading_3"/>
      <w:r>
        <w:t>年度应急工作总体评价</w:t>
      </w:r>
      <w:bookmarkEnd w:id="3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877"/>
        <w:gridCol w:w="6403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87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维度</w:t>
            </w:r>
          </w:p>
        </w:tc>
        <w:tc>
          <w:tcPr>
            <w:tcW w:w="640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达成情况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7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应急体系建设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完成应急预案、大纲、计划、报告等全套文件编制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7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应急演练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完成1次综合性实战演练，覆盖3个典型故障场景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7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应急事件处置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全年未发生重大应急事件，小型故障处置及时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7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改进措施落实</w:t>
            </w:r>
          </w:p>
        </w:tc>
        <w:tc>
          <w:tcPr>
            <w:tcW w:w="64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年度整改完成率100%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heading_4"/>
      <w:bookmarkStart w:id="5" w:name="_Toc6058"/>
      <w:r>
        <w:t>应急体系建设</w:t>
      </w:r>
      <w:bookmarkEnd w:id="4"/>
      <w:bookmarkEnd w:id="5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heading_5"/>
      <w:bookmarkStart w:id="7" w:name="_Toc11498"/>
      <w:r>
        <w:t>制度文件建设</w:t>
      </w:r>
      <w:bookmarkEnd w:id="6"/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2025年度，项目团队完成了应急管理全套制度文件的编制与发布，构建了标准化、规范化的项目应急管理体系，为存储维保服务应急工作开展提供制度依据。</w:t>
      </w:r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097"/>
        <w:gridCol w:w="2933"/>
        <w:gridCol w:w="1952"/>
        <w:gridCol w:w="1298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9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文件编号</w:t>
            </w:r>
          </w:p>
        </w:tc>
        <w:tc>
          <w:tcPr>
            <w:tcW w:w="293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文件名称</w:t>
            </w:r>
          </w:p>
        </w:tc>
        <w:tc>
          <w:tcPr>
            <w:tcW w:w="195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编制时间</w:t>
            </w:r>
          </w:p>
        </w:tc>
        <w:tc>
          <w:tcPr>
            <w:tcW w:w="129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09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ZGS-10-01</w:t>
            </w:r>
          </w:p>
        </w:tc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运维应急管理制度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2025.02.15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已发布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09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ZGS-10-02</w:t>
            </w:r>
          </w:p>
        </w:tc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应急演练大纲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2025.02.20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已发布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09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ZGS-10-03</w:t>
            </w:r>
          </w:p>
        </w:tc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运维服务应急预案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2025.02.20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已发布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09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ZGS-10-04</w:t>
            </w:r>
          </w:p>
        </w:tc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应急演练计划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2025.08.10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已发布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09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ZGS-10-05</w:t>
            </w:r>
          </w:p>
        </w:tc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应急演练报告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2025.09.16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已归档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heading_6"/>
      <w:bookmarkStart w:id="9" w:name="_Toc11568"/>
      <w:r>
        <w:t>应急组织架构</w:t>
      </w:r>
      <w:bookmarkEnd w:id="8"/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建立了完善的应急组织架构，明确各岗位应急职责、分工边界与工作流程，形成统一指挥、分工明确、协同联动的应急工作机制，保障突发故障快速响应、高效处置。</w:t>
      </w:r>
    </w:p>
    <w:p>
      <w:r>
        <w:br w:type="page"/>
      </w:r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438"/>
        <w:gridCol w:w="1862"/>
        <w:gridCol w:w="4980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43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186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人员</w:t>
            </w:r>
          </w:p>
        </w:tc>
        <w:tc>
          <w:tcPr>
            <w:tcW w:w="498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核心职责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总指挥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运维部经理</w:t>
            </w:r>
          </w:p>
        </w:tc>
        <w:tc>
          <w:tcPr>
            <w:tcW w:w="498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统筹应急全局，下达应急启动、终止指令，统筹资源调配与故障处置决策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副总指挥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运维项目经理</w:t>
            </w:r>
          </w:p>
        </w:tc>
        <w:tc>
          <w:tcPr>
            <w:tcW w:w="498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协调甲方、数据中心各方资源，跟进故障处置全过程，确认业务恢复结果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技术保障组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运维工程师（2人）</w:t>
            </w:r>
          </w:p>
        </w:tc>
        <w:tc>
          <w:tcPr>
            <w:tcW w:w="498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负责故障排查诊断、技术处置方案制定、设备恢复实施、业务验证工作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现场抢险组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数据中心运维人员</w:t>
            </w:r>
          </w:p>
        </w:tc>
        <w:tc>
          <w:tcPr>
            <w:tcW w:w="498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负责机房现场环境管控、设备巡检、初期险情排查与现场处置配合工作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信息联络组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服务台</w:t>
            </w:r>
          </w:p>
        </w:tc>
        <w:tc>
          <w:tcPr>
            <w:tcW w:w="498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负责应急信息通报、全过程记录、甲方对接、各方沟通协调工作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3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后勤支持组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rPr>
                <w:rFonts w:hint="eastAsia"/>
                <w:lang w:val="en-US" w:eastAsia="zh-CN"/>
              </w:rPr>
              <w:t>采购部</w:t>
            </w:r>
          </w:p>
        </w:tc>
        <w:tc>
          <w:tcPr>
            <w:tcW w:w="49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负责应急物资调配、设备厂商对接报修、后勤保障支撑工作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heading_7"/>
      <w:bookmarkStart w:id="11" w:name="_Toc5116"/>
      <w:r>
        <w:t>应急物资保障</w:t>
      </w:r>
      <w:bookmarkEnd w:id="10"/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梳理完善项目应急物资清单，明确各类物资用途、存放位置与保管要求，建立常态化物资核查机制，确保应急物资随时可用、状态完好，为突发故障处置提供物资支撑。</w:t>
      </w:r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529"/>
        <w:gridCol w:w="708"/>
        <w:gridCol w:w="4413"/>
        <w:gridCol w:w="1630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52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物资名称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数量</w:t>
            </w:r>
          </w:p>
        </w:tc>
        <w:tc>
          <w:tcPr>
            <w:tcW w:w="441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用途</w:t>
            </w:r>
          </w:p>
        </w:tc>
        <w:tc>
          <w:tcPr>
            <w:tcW w:w="163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存放位置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备用网线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若干</w:t>
            </w:r>
          </w:p>
        </w:tc>
        <w:tc>
          <w:tcPr>
            <w:tcW w:w="44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用于网络线路故障快速更换、网络异常恢复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运维值班室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应急U盘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1个</w:t>
            </w:r>
          </w:p>
        </w:tc>
        <w:tc>
          <w:tcPr>
            <w:tcW w:w="44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存储应急预案、操作手册、配置备份文件，应急处置查阅使用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运维值班室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应急通讯录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1份</w:t>
            </w:r>
          </w:p>
        </w:tc>
        <w:tc>
          <w:tcPr>
            <w:tcW w:w="44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收录应急小组、甲方、数据中心及厂商联系方式，保障应急沟通畅通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运维值班室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演练记录表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若干</w:t>
            </w:r>
          </w:p>
        </w:tc>
        <w:tc>
          <w:tcPr>
            <w:tcW w:w="44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用于应急演练、故障处置全过程记录归档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运维值班室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2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厂商联系方式清单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1份</w:t>
            </w:r>
          </w:p>
        </w:tc>
        <w:tc>
          <w:tcPr>
            <w:tcW w:w="44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用于硬件设备故障快速报修、技术咨询与售后对接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运维值班室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heading_8"/>
      <w:bookmarkStart w:id="13" w:name="_Toc29104"/>
      <w:r>
        <w:t>应急预案覆盖范围</w:t>
      </w:r>
      <w:bookmarkEnd w:id="12"/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结合存储维保项目业务特性与机房运维风险，应急预案全面覆盖项目核心风险场景，明确不同场景风险等级、处置流程与管控标准，实现风险全覆盖、处置有依据。</w:t>
      </w:r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101"/>
        <w:gridCol w:w="4429"/>
        <w:gridCol w:w="1750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10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场景类别</w:t>
            </w:r>
          </w:p>
        </w:tc>
        <w:tc>
          <w:tcPr>
            <w:tcW w:w="442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具体场景</w:t>
            </w:r>
          </w:p>
        </w:tc>
        <w:tc>
          <w:tcPr>
            <w:tcW w:w="175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风险等级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机房环境类</w:t>
            </w:r>
          </w:p>
        </w:tc>
        <w:tc>
          <w:tcPr>
            <w:tcW w:w="44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电力中断、空调故障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P1/P2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硬件设备类</w:t>
            </w:r>
          </w:p>
        </w:tc>
        <w:tc>
          <w:tcPr>
            <w:tcW w:w="44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服务器宕机、硬盘故障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P1/P2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0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安防审计类</w:t>
            </w:r>
          </w:p>
        </w:tc>
        <w:tc>
          <w:tcPr>
            <w:tcW w:w="44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审计Agent离线、日志中断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P2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heading_9"/>
      <w:bookmarkStart w:id="15" w:name="_Toc1916"/>
      <w:r>
        <w:t>应急演练开展情况</w:t>
      </w:r>
      <w:bookmarkEnd w:id="14"/>
      <w:bookmarkEnd w:id="15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heading_10"/>
      <w:bookmarkStart w:id="17" w:name="_Toc18893"/>
      <w:r>
        <w:t>演练概况</w:t>
      </w:r>
      <w:bookmarkEnd w:id="16"/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依据年度应急演练计划，2025年9月15日，项目团队联合甲方、数据中心运维方开展年度综合性实战应急演练，全程模拟真实故障场景，实战检验应急体系运行能力与团队处置水平。</w:t>
      </w:r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843"/>
        <w:gridCol w:w="6437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84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项目</w:t>
            </w:r>
          </w:p>
        </w:tc>
        <w:tc>
          <w:tcPr>
            <w:tcW w:w="643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内容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8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演练时间</w:t>
            </w:r>
          </w:p>
        </w:tc>
        <w:tc>
          <w:tcPr>
            <w:tcW w:w="643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2025年9月15日 14:00-16:00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8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演练地点</w:t>
            </w:r>
          </w:p>
        </w:tc>
        <w:tc>
          <w:tcPr>
            <w:tcW w:w="643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重庆市政务云计算大数据中心机房及运维值班室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8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演练类别</w:t>
            </w:r>
          </w:p>
        </w:tc>
        <w:tc>
          <w:tcPr>
            <w:tcW w:w="643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现场处置演练 + 实战演练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8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参与单位</w:t>
            </w:r>
          </w:p>
        </w:tc>
        <w:tc>
          <w:tcPr>
            <w:tcW w:w="643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甲方信息中心、乙方运维团队、数据中心运维方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84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演练场景</w:t>
            </w:r>
          </w:p>
        </w:tc>
        <w:tc>
          <w:tcPr>
            <w:tcW w:w="64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3个（电力中断、硬件故障、安防审计异常）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" w:name="heading_11"/>
      <w:bookmarkStart w:id="19" w:name="_Toc1646"/>
      <w:r>
        <w:t>演练场景与成果</w:t>
      </w:r>
      <w:bookmarkEnd w:id="18"/>
      <w:bookmarkEnd w:id="19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026"/>
        <w:gridCol w:w="1811"/>
        <w:gridCol w:w="1811"/>
        <w:gridCol w:w="1577"/>
        <w:gridCol w:w="1288"/>
        <w:gridCol w:w="767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02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场景</w:t>
            </w:r>
          </w:p>
        </w:tc>
        <w:tc>
          <w:tcPr>
            <w:tcW w:w="181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故障描述</w:t>
            </w:r>
          </w:p>
        </w:tc>
        <w:tc>
          <w:tcPr>
            <w:tcW w:w="181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关键指标</w:t>
            </w:r>
          </w:p>
        </w:tc>
        <w:tc>
          <w:tcPr>
            <w:tcW w:w="157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128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实际达成</w:t>
            </w:r>
          </w:p>
        </w:tc>
        <w:tc>
          <w:tcPr>
            <w:tcW w:w="76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结果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02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场景一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机房电力中断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电力恢复时间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≤2小时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12分钟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达标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02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场景二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核心硬件故障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厂商报修完成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≤30分钟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12分钟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达标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02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场景三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安防审计异常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审计恢复时间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≤5个工作日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12分钟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达标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" w:name="heading_12"/>
      <w:bookmarkStart w:id="21" w:name="_Toc22974"/>
      <w:r>
        <w:t>演练成效</w:t>
      </w:r>
      <w:bookmarkEnd w:id="20"/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预案验证成功：全面验证了《运维服务应急预案》的完整性、规范性与可操作性，各场景处置流程贴合现场实际，制度落地性强。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响应时效达标：故障发现、应急上报、应急启动、故障恢复全流程时效均优于预案既定目标，响应处置效率远超标准要求。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协同机制顺畅：运维团队与甲方、数据中心运维方、设备厂商联动高效，信息传递及时、工作衔接顺畅，多方协同应急机制有效落地。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团队能力提升：通过全流程实战演练，运维团队熟练掌握各类典型故障处置流程，故障诊断、应急处置、沟通对接能力得到实质性提升。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heading_13"/>
      <w:bookmarkStart w:id="23" w:name="_Toc18533"/>
      <w:r>
        <w:t>应急事件处置情况</w:t>
      </w:r>
      <w:bookmarkEnd w:id="22"/>
      <w:bookmarkEnd w:id="2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4" w:name="heading_14"/>
      <w:bookmarkStart w:id="25" w:name="_Toc30237"/>
      <w:r>
        <w:t>年度应急事件统计</w:t>
      </w:r>
      <w:bookmarkEnd w:id="24"/>
      <w:bookmarkEnd w:id="2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2025年度，项目严格落实常态化运维巡检与风险防控工作，未发生Ⅰ级、Ⅱ级重大应急事件，日常出现的一般性设备告警、审计异常等问题，均第一时间完成处置、闭环整改，未对甲方业务运行造成任何影响。</w:t>
      </w:r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416"/>
        <w:gridCol w:w="1723"/>
        <w:gridCol w:w="2417"/>
        <w:gridCol w:w="1724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41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事件类型</w:t>
            </w:r>
          </w:p>
        </w:tc>
        <w:tc>
          <w:tcPr>
            <w:tcW w:w="172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发生次数</w:t>
            </w:r>
          </w:p>
        </w:tc>
        <w:tc>
          <w:tcPr>
            <w:tcW w:w="241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处置结果</w:t>
            </w:r>
          </w:p>
        </w:tc>
        <w:tc>
          <w:tcPr>
            <w:tcW w:w="172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是否升级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4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机房环境异常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0次</w:t>
            </w:r>
          </w:p>
        </w:tc>
        <w:tc>
          <w:tcPr>
            <w:tcW w:w="2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—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否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4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核心硬件故障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0次</w:t>
            </w:r>
          </w:p>
        </w:tc>
        <w:tc>
          <w:tcPr>
            <w:tcW w:w="2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—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否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4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硬件告警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2次</w:t>
            </w:r>
          </w:p>
        </w:tc>
        <w:tc>
          <w:tcPr>
            <w:tcW w:w="2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已处理、闭环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否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4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安防审计异常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1次</w:t>
            </w:r>
          </w:p>
        </w:tc>
        <w:tc>
          <w:tcPr>
            <w:tcW w:w="2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已处理、闭环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否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4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咨询类事件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28次</w:t>
            </w:r>
          </w:p>
        </w:tc>
        <w:tc>
          <w:tcPr>
            <w:tcW w:w="2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已处理、闭环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否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41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合计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31次</w:t>
            </w:r>
          </w:p>
        </w:tc>
        <w:tc>
          <w:tcPr>
            <w:tcW w:w="24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b/>
              </w:rPr>
            </w:pPr>
            <w:r>
              <w:rPr>
                <w:b/>
              </w:rPr>
              <w:t>—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—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6" w:name="heading_15"/>
      <w:bookmarkStart w:id="27" w:name="_Toc9629"/>
      <w:r>
        <w:t>典型事件处置</w:t>
      </w:r>
      <w:bookmarkEnd w:id="26"/>
      <w:bookmarkEnd w:id="27"/>
    </w:p>
    <w:tbl>
      <w:tblPr>
        <w:tblStyle w:val="TableNormal"/>
        <w:tblW w:w="906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910"/>
        <w:gridCol w:w="799"/>
        <w:gridCol w:w="2833"/>
        <w:gridCol w:w="3087"/>
        <w:gridCol w:w="1432"/>
      </w:tblGrid>
      <w:tr>
        <w:tblPrEx>
          <w:tblW w:w="9061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91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时间</w:t>
            </w:r>
          </w:p>
        </w:tc>
        <w:tc>
          <w:tcPr>
            <w:tcW w:w="79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事件类型</w:t>
            </w:r>
          </w:p>
        </w:tc>
        <w:tc>
          <w:tcPr>
            <w:tcW w:w="283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事件描述</w:t>
            </w:r>
          </w:p>
        </w:tc>
        <w:tc>
          <w:tcPr>
            <w:tcW w:w="308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处置措施</w:t>
            </w:r>
          </w:p>
        </w:tc>
        <w:tc>
          <w:tcPr>
            <w:tcW w:w="143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处置结果</w:t>
            </w:r>
          </w:p>
        </w:tc>
      </w:tr>
      <w:tr>
        <w:tblPrEx>
          <w:tblW w:w="9061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1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2025年3月</w:t>
            </w:r>
          </w:p>
        </w:tc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硬件告警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超融合节点磁盘使用率超过85%，触发监控告警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第一时间核查磁盘存储数据，梳理无用冗余文件，同步告知甲方存储现状，协助制定磁盘扩容规划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已解决，风险提前规避</w:t>
            </w:r>
          </w:p>
        </w:tc>
      </w:tr>
      <w:tr>
        <w:tblPrEx>
          <w:tblW w:w="9061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1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2025年5月</w:t>
            </w:r>
          </w:p>
        </w:tc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硬件告警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备份服务器硬盘出现SMART异常告警，存在硬盘损坏风险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立即核查硬盘运行状态，备份关键业务数据，快速对接设备厂商提交报修，全程跟进更换流程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已解决，硬盘更换完成，业务正常</w:t>
            </w:r>
          </w:p>
        </w:tc>
      </w:tr>
      <w:tr>
        <w:tblPrEx>
          <w:tblW w:w="9061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1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2025年8月</w:t>
            </w:r>
          </w:p>
        </w:tc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安防审计异常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日志审计系统出现规则误报，产生无效告警信息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逐条核查告警规则，优化阈值与匹配逻辑，清理无效规则，规避重复误报问题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已解决，告警准确率显著提升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8" w:name="heading_16"/>
      <w:bookmarkStart w:id="29" w:name="_Toc15384"/>
      <w:r>
        <w:t>应急处置能力评估</w:t>
      </w:r>
      <w:bookmarkEnd w:id="28"/>
      <w:bookmarkEnd w:id="29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686"/>
        <w:gridCol w:w="6594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68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评估维度</w:t>
            </w:r>
          </w:p>
        </w:tc>
        <w:tc>
          <w:tcPr>
            <w:tcW w:w="659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评价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8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故障发现能力</w:t>
            </w:r>
          </w:p>
        </w:tc>
        <w:tc>
          <w:tcPr>
            <w:tcW w:w="659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监控系统全覆盖、7×24小时值守，告警触发及时，无漏报、迟报情况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8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故障上报流程</w:t>
            </w:r>
          </w:p>
        </w:tc>
        <w:tc>
          <w:tcPr>
            <w:tcW w:w="659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上报流程规范清晰，分级上报落实到位，平均上报时长2-3分钟，时效达标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8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应急响应启动</w:t>
            </w:r>
          </w:p>
        </w:tc>
        <w:tc>
          <w:tcPr>
            <w:tcW w:w="659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应急决策快速准确，响应启动及时，平均启动时长3-4分钟，远优于既定标准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8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故障处置效率</w:t>
            </w:r>
          </w:p>
        </w:tc>
        <w:tc>
          <w:tcPr>
            <w:tcW w:w="659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处置流程标准化、专业化，故障闭环速度快，全面优于项目SLA服务要求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8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客户沟通</w:t>
            </w:r>
          </w:p>
        </w:tc>
        <w:tc>
          <w:tcPr>
            <w:tcW w:w="659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故障全程实时通报进展，信息透明、对接及时，甲方满意度良好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0" w:name="heading_17"/>
      <w:bookmarkStart w:id="31" w:name="_Toc23782"/>
      <w:r>
        <w:t>存在问题与改进措施</w:t>
      </w:r>
      <w:bookmarkEnd w:id="30"/>
      <w:bookmarkEnd w:id="31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2" w:name="heading_18"/>
      <w:bookmarkStart w:id="33" w:name="_Toc5167"/>
      <w:r>
        <w:t>年度问题整改情况</w:t>
      </w:r>
      <w:bookmarkEnd w:id="32"/>
      <w:bookmarkEnd w:id="33"/>
    </w:p>
    <w:tbl>
      <w:tblPr>
        <w:tblStyle w:val="TableNormal"/>
        <w:tblW w:w="10313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1"/>
        <w:gridCol w:w="2440"/>
        <w:gridCol w:w="1108"/>
        <w:gridCol w:w="2839"/>
        <w:gridCol w:w="1338"/>
        <w:gridCol w:w="1171"/>
        <w:gridCol w:w="796"/>
      </w:tblGrid>
      <w:tr>
        <w:tblPrEx>
          <w:tblW w:w="10313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244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问题描述</w:t>
            </w:r>
          </w:p>
        </w:tc>
        <w:tc>
          <w:tcPr>
            <w:tcW w:w="110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发现时间</w:t>
            </w:r>
          </w:p>
        </w:tc>
        <w:tc>
          <w:tcPr>
            <w:tcW w:w="283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改进措施</w:t>
            </w:r>
          </w:p>
        </w:tc>
        <w:tc>
          <w:tcPr>
            <w:tcW w:w="133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17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完成时间</w:t>
            </w:r>
          </w:p>
        </w:tc>
        <w:tc>
          <w:tcPr>
            <w:tcW w:w="79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>
        <w:tblPrEx>
          <w:tblW w:w="10313" w:type="dxa"/>
          <w:jc w:val="center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备份恢复脚本部分操作依赖手工，自动化程度不足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2025.09</w:t>
            </w:r>
          </w:p>
        </w:tc>
        <w:tc>
          <w:tcPr>
            <w:tcW w:w="28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优化备份恢复脚本，梳理手工操作环节，实现一键化自动恢复，降低人工操作风险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运维工程师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2026.01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进行中</w:t>
            </w:r>
          </w:p>
        </w:tc>
      </w:tr>
      <w:tr>
        <w:tblPrEx>
          <w:tblW w:w="10313" w:type="dxa"/>
          <w:jc w:val="center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应急通讯录未包含夜间值班联系方式，夜间应急沟通存在隐患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2025.09</w:t>
            </w:r>
          </w:p>
        </w:tc>
        <w:tc>
          <w:tcPr>
            <w:tcW w:w="28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全面更新应急通讯录，补充数据中心、厂商、内部值班24小时联系方式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服务台专员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2025.09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已完成</w:t>
            </w:r>
          </w:p>
        </w:tc>
      </w:tr>
      <w:tr>
        <w:tblPrEx>
          <w:tblW w:w="10313" w:type="dxa"/>
          <w:jc w:val="center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备用物资存放位置未明确标识，物资取用不便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2025.09</w:t>
            </w:r>
          </w:p>
        </w:tc>
        <w:tc>
          <w:tcPr>
            <w:tcW w:w="28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建立标准化应急物资台账，统一张贴物资标识牌，明确存放区域与保管责任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后勤支持组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2025.09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已完成</w:t>
            </w:r>
          </w:p>
        </w:tc>
      </w:tr>
      <w:tr>
        <w:tblPrEx>
          <w:tblW w:w="10313" w:type="dxa"/>
          <w:jc w:val="center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安防审计告警规则不完善，存在少量误报情况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2025.09</w:t>
            </w:r>
          </w:p>
        </w:tc>
        <w:tc>
          <w:tcPr>
            <w:tcW w:w="28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持续迭代优化审计告警规则，调整匹配阈值，筛选无效告警，提升告警精准度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运维工程师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2025.10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已完成</w:t>
            </w:r>
          </w:p>
        </w:tc>
      </w:tr>
      <w:tr>
        <w:tblPrEx>
          <w:tblW w:w="10313" w:type="dxa"/>
          <w:jc w:val="center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硬件故障诊断无标准化流程，过度依赖运维人员人工经验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2025.09</w:t>
            </w:r>
          </w:p>
        </w:tc>
        <w:tc>
          <w:tcPr>
            <w:tcW w:w="283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编制《硬件故障诊断标准操作流程》，统一诊断步骤、判断标准与处置规范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运维工程师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2025.10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已完成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4" w:name="heading_19"/>
      <w:bookmarkStart w:id="35" w:name="_Toc3561"/>
      <w:r>
        <w:t>年度整改成效</w:t>
      </w:r>
      <w:bookmarkEnd w:id="34"/>
      <w:bookmarkEnd w:id="35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409"/>
        <w:gridCol w:w="3492"/>
        <w:gridCol w:w="3379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349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整改前</w:t>
            </w:r>
          </w:p>
        </w:tc>
        <w:tc>
          <w:tcPr>
            <w:tcW w:w="337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整改后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应急通讯录完整性</w:t>
            </w: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缺少夜间值班及24小时应急联系方式，沟通覆盖不全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24小时应急联系方式全覆盖，全天候沟通保障到位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物资管理规范性</w:t>
            </w: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物资存放杂乱、无标识、无台账，管理不规范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物资台账完善、标识清晰、定点存放，管理标准化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审计告警准确率</w:t>
            </w: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误报率约20%，无效告警较多，增加运维工作量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误报率降低约25%，告警精准度大幅提升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硬件诊断标准化</w:t>
            </w: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无统一流程，依赖个人经验，处置标准不统一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标准化诊断流程落地，处置规范统一、效率提升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6" w:name="heading_20"/>
      <w:bookmarkStart w:id="37" w:name="_Toc15337"/>
      <w:r>
        <w:t>下年度工作计划</w:t>
      </w:r>
      <w:bookmarkEnd w:id="36"/>
      <w:bookmarkEnd w:id="37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8" w:name="heading_21"/>
      <w:bookmarkStart w:id="39" w:name="_Toc12943"/>
      <w:r>
        <w:t>应急体系建设计划</w:t>
      </w:r>
      <w:bookmarkEnd w:id="38"/>
      <w:bookmarkEnd w:id="39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02"/>
        <w:gridCol w:w="1662"/>
        <w:gridCol w:w="1183"/>
        <w:gridCol w:w="4733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0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66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工作计划</w:t>
            </w:r>
          </w:p>
        </w:tc>
        <w:tc>
          <w:tcPr>
            <w:tcW w:w="118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计划时间</w:t>
            </w:r>
          </w:p>
        </w:tc>
        <w:tc>
          <w:tcPr>
            <w:tcW w:w="473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预期目标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0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修订应急预案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2026年2月</w:t>
            </w:r>
          </w:p>
        </w:tc>
        <w:tc>
          <w:tcPr>
            <w:tcW w:w="47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结合本年度演练、故障处置经验，优化预案流程，补齐短板，提升预案贴合度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0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补充应急物资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2026年3月</w:t>
            </w:r>
          </w:p>
        </w:tc>
        <w:tc>
          <w:tcPr>
            <w:tcW w:w="47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增配备用交换机、备用硬盘等核心应急物资，完善物资储备体系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0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完善物资台账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2026年3月</w:t>
            </w:r>
          </w:p>
        </w:tc>
        <w:tc>
          <w:tcPr>
            <w:tcW w:w="47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搭建电子化物资管理台账，实现物资入库、盘点、更换全流程数字化管理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0" w:name="heading_22"/>
      <w:bookmarkStart w:id="41" w:name="_Toc5666"/>
      <w:r>
        <w:t>应急演练计划</w:t>
      </w:r>
      <w:bookmarkEnd w:id="40"/>
      <w:bookmarkEnd w:id="41"/>
    </w:p>
    <w:p>
      <w:r>
        <w:br w:type="page"/>
      </w:r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90"/>
        <w:gridCol w:w="3942"/>
        <w:gridCol w:w="1685"/>
        <w:gridCol w:w="1863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9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394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演练内容</w:t>
            </w:r>
          </w:p>
        </w:tc>
        <w:tc>
          <w:tcPr>
            <w:tcW w:w="16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计划时间</w:t>
            </w:r>
          </w:p>
        </w:tc>
        <w:tc>
          <w:tcPr>
            <w:tcW w:w="186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演练类型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9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39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机房电力中断专项应急处置演练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2026年5月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实战演练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9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39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服务器硬件故障排查与恢复演练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2026年7月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实战演练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9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394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全场景综合性应急演练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2026年10月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综合实战演练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2" w:name="heading_23"/>
      <w:bookmarkStart w:id="43" w:name="_Toc30856"/>
      <w:r>
        <w:t>能力提升计划</w:t>
      </w:r>
      <w:bookmarkEnd w:id="42"/>
      <w:bookmarkEnd w:id="43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13"/>
        <w:gridCol w:w="1939"/>
        <w:gridCol w:w="2148"/>
        <w:gridCol w:w="3480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1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工作计划</w:t>
            </w:r>
          </w:p>
        </w:tc>
        <w:tc>
          <w:tcPr>
            <w:tcW w:w="214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计划时间</w:t>
            </w:r>
          </w:p>
        </w:tc>
        <w:tc>
          <w:tcPr>
            <w:tcW w:w="348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预期目标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全员应急技能专项培训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2026年3月、8月</w:t>
            </w:r>
          </w:p>
        </w:tc>
        <w:tc>
          <w:tcPr>
            <w:tcW w:w="348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实现全员熟练掌握各类故障应急处置流程、操作规范，提升团队整体应急能力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自动化备份恢复工具部署落地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2026年6月</w:t>
            </w:r>
          </w:p>
        </w:tc>
        <w:tc>
          <w:tcPr>
            <w:tcW w:w="348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完成备份恢复一键化改造，减少人工干预，提升故障恢复效率，降低操作风险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监控告警阈值优化升级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2026年5月</w:t>
            </w:r>
          </w:p>
        </w:tc>
        <w:tc>
          <w:tcPr>
            <w:tcW w:w="34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精准优化各类监控阈值，彻底减少告警误报、漏报问题，提升监控预警有效性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4" w:name="heading_24"/>
      <w:bookmarkStart w:id="45" w:name="_Toc16100"/>
      <w:r>
        <w:t>附件</w:t>
      </w:r>
      <w:bookmarkEnd w:id="44"/>
      <w:bookmarkEnd w:id="4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附件1：《运维应急管理制度》（ZGS-10-01）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附件2：《应急演练大纲》（ZGS-10-02）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附件3：《运维服务应急预案》（ZGS-10-03）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附件4：《应急演练计划》（ZGS-10-04）</w:t>
      </w:r>
      <w:bookmarkStart w:id="46" w:name="_GoBack"/>
      <w:bookmarkEnd w:id="4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附件5：《应急演练报告》（ZGS-10-05）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附件6：《应急物资清单》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附件7：《应急通讯联络表》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附件8：《演练问题整改跟踪表》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重庆市鹧鸪哨信息技术有限责任公司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link w:val="3Char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character" w:customStyle="1" w:styleId="3Char">
    <w:name w:val="柴_标题3 Char"/>
    <w:link w:val="3"/>
    <w:qFormat/>
    <w:rPr>
      <w:rFonts w:ascii="宋体" w:eastAsia="宋体" w:hAnsi="宋体" w:cs="宋体"/>
      <w:spacing w:val="-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3686</Words>
  <Characters>4093</Characters>
  <Application>Microsoft Office Word</Application>
  <DocSecurity>0</DocSecurity>
  <Lines>0</Lines>
  <Paragraphs>0</Paragraphs>
  <ScaleCrop>false</ScaleCrop>
  <Company/>
  <LinksUpToDate>false</LinksUpToDate>
  <CharactersWithSpaces>4279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2026-07-01T04:22:38Z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