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895"/>
      <w:r>
        <w:drawing>
          <wp:anchor distT="0" distB="0" distL="114300" distR="114300" simplePos="0" relativeHeight="251658240"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7926"/>
      <w:r>
        <w:rPr>
          <w:rFonts w:hint="eastAsia"/>
          <w:lang w:val="en-US" w:eastAsia="zh-CN"/>
        </w:rPr>
        <w:t>组织架构与部门职责说明</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文件编号：ZGS-02-01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编制部门:人力部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批准人:李文琼</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李文琼</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_Toc15895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_Toc15895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_Toc17926 </w:instrText>
          </w:r>
          <w:r>
            <w:rPr>
              <w:rFonts w:ascii="宋体" w:eastAsia="宋体" w:hAnsi="宋体" w:cs="宋体" w:hint="eastAsia"/>
              <w:szCs w:val="24"/>
            </w:rPr>
            <w:fldChar w:fldCharType="separate"/>
          </w:r>
          <w:r>
            <w:rPr>
              <w:rFonts w:hint="eastAsia"/>
              <w:lang w:val="en-US" w:eastAsia="zh-CN"/>
            </w:rPr>
            <w:t>组织架构与部门职责说明</w:t>
          </w:r>
          <w:r>
            <w:tab/>
          </w:r>
          <w:r>
            <w:fldChar w:fldCharType="begin"/>
          </w:r>
          <w:r>
            <w:instrText xml:space="preserve"> PAGEREF _Toc17926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_Toc27622 </w:instrText>
          </w:r>
          <w:r>
            <w:rPr>
              <w:rFonts w:ascii="宋体" w:eastAsia="宋体" w:hAnsi="宋体" w:cs="宋体" w:hint="eastAsia"/>
              <w:szCs w:val="24"/>
            </w:rPr>
            <w:fldChar w:fldCharType="separate"/>
          </w:r>
          <w:r>
            <w:rPr>
              <w:rFonts w:hint="default"/>
            </w:rPr>
            <w:t xml:space="preserve">1. </w:t>
          </w:r>
          <w:r>
            <w:rPr>
              <w:rFonts w:hint="eastAsia"/>
              <w:lang w:val="en-US" w:eastAsia="zh-CN"/>
            </w:rPr>
            <w:t>组织架构图</w:t>
          </w:r>
          <w:r>
            <w:tab/>
          </w:r>
          <w:r>
            <w:fldChar w:fldCharType="begin"/>
          </w:r>
          <w:r>
            <w:instrText xml:space="preserve"> PAGEREF _Toc27622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_Toc27691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部门职责说明</w:t>
          </w:r>
          <w:r>
            <w:tab/>
          </w:r>
          <w:r>
            <w:fldChar w:fldCharType="begin"/>
          </w:r>
          <w:r>
            <w:instrText xml:space="preserve"> PAGEREF _Toc27691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_Toc21722 </w:instrText>
          </w:r>
          <w:r>
            <w:rPr>
              <w:rFonts w:ascii="宋体" w:eastAsia="宋体" w:hAnsi="宋体" w:cs="宋体" w:hint="eastAsia"/>
              <w:szCs w:val="24"/>
            </w:rPr>
            <w:fldChar w:fldCharType="separate"/>
          </w:r>
          <w:r>
            <w:rPr>
              <w:rFonts w:hint="default"/>
            </w:rPr>
            <w:t xml:space="preserve">2.1. </w:t>
          </w:r>
          <w:r>
            <w:rPr>
              <w:rFonts w:hint="eastAsia"/>
              <w:lang w:val="en-US" w:eastAsia="zh-CN"/>
            </w:rPr>
            <w:t>运维部</w:t>
          </w:r>
          <w:r>
            <w:tab/>
          </w:r>
          <w:r>
            <w:fldChar w:fldCharType="begin"/>
          </w:r>
          <w:r>
            <w:instrText xml:space="preserve"> PAGEREF _Toc21722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_Toc24773 </w:instrText>
          </w:r>
          <w:r>
            <w:rPr>
              <w:rFonts w:ascii="宋体" w:eastAsia="宋体" w:hAnsi="宋体" w:cs="宋体" w:hint="eastAsia"/>
              <w:szCs w:val="24"/>
            </w:rPr>
            <w:fldChar w:fldCharType="separate"/>
          </w:r>
          <w:r>
            <w:rPr>
              <w:rFonts w:hint="default"/>
              <w:lang w:val="en-US" w:eastAsia="zh-CN"/>
            </w:rPr>
            <w:t xml:space="preserve">2.1.1. </w:t>
          </w:r>
          <w:r>
            <w:rPr>
              <w:rFonts w:hint="eastAsia"/>
              <w:lang w:val="en-US" w:eastAsia="zh-CN"/>
            </w:rPr>
            <w:t>服务台</w:t>
          </w:r>
          <w:r>
            <w:tab/>
          </w:r>
          <w:r>
            <w:fldChar w:fldCharType="begin"/>
          </w:r>
          <w:r>
            <w:instrText xml:space="preserve"> PAGEREF _Toc24773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_Toc9168 </w:instrText>
          </w:r>
          <w:r>
            <w:rPr>
              <w:rFonts w:ascii="宋体" w:eastAsia="宋体" w:hAnsi="宋体" w:cs="宋体" w:hint="eastAsia"/>
              <w:szCs w:val="24"/>
            </w:rPr>
            <w:fldChar w:fldCharType="separate"/>
          </w:r>
          <w:r>
            <w:rPr>
              <w:rFonts w:hint="default"/>
              <w:lang w:val="en-US" w:eastAsia="zh-CN"/>
            </w:rPr>
            <w:t xml:space="preserve">2.1.2. </w:t>
          </w:r>
          <w:r>
            <w:rPr>
              <w:rFonts w:hint="eastAsia"/>
              <w:lang w:val="en-US" w:eastAsia="zh-CN"/>
            </w:rPr>
            <w:t>备件库</w:t>
          </w:r>
          <w:r>
            <w:tab/>
          </w:r>
          <w:r>
            <w:fldChar w:fldCharType="begin"/>
          </w:r>
          <w:r>
            <w:instrText xml:space="preserve"> PAGEREF _Toc9168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_Toc15418 </w:instrText>
          </w:r>
          <w:r>
            <w:rPr>
              <w:rFonts w:ascii="宋体" w:eastAsia="宋体" w:hAnsi="宋体" w:cs="宋体" w:hint="eastAsia"/>
              <w:szCs w:val="24"/>
            </w:rPr>
            <w:fldChar w:fldCharType="separate"/>
          </w:r>
          <w:r>
            <w:rPr>
              <w:rFonts w:hint="default"/>
              <w:lang w:val="en-US" w:eastAsia="zh-CN"/>
            </w:rPr>
            <w:t xml:space="preserve">2.1.3. </w:t>
          </w:r>
          <w:r>
            <w:rPr>
              <w:rFonts w:hint="eastAsia"/>
              <w:lang w:val="en-US" w:eastAsia="zh-CN"/>
            </w:rPr>
            <w:t>服务知识</w:t>
          </w:r>
          <w:r>
            <w:tab/>
          </w:r>
          <w:r>
            <w:fldChar w:fldCharType="begin"/>
          </w:r>
          <w:r>
            <w:instrText xml:space="preserve"> PAGEREF _Toc15418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_Toc19597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研发部</w:t>
          </w:r>
          <w:r>
            <w:tab/>
          </w:r>
          <w:r>
            <w:fldChar w:fldCharType="begin"/>
          </w:r>
          <w:r>
            <w:instrText xml:space="preserve"> PAGEREF _Toc19597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_Toc21581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人力部</w:t>
          </w:r>
          <w:r>
            <w:tab/>
          </w:r>
          <w:r>
            <w:fldChar w:fldCharType="begin"/>
          </w:r>
          <w:r>
            <w:instrText xml:space="preserve"> PAGEREF _Toc21581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_Toc660 </w:instrText>
          </w:r>
          <w:r>
            <w:rPr>
              <w:rFonts w:ascii="宋体" w:eastAsia="宋体" w:hAnsi="宋体" w:cs="宋体" w:hint="eastAsia"/>
              <w:szCs w:val="24"/>
            </w:rPr>
            <w:fldChar w:fldCharType="separate"/>
          </w:r>
          <w:r>
            <w:rPr>
              <w:rFonts w:hint="default"/>
            </w:rPr>
            <w:t xml:space="preserve">2.4. </w:t>
          </w:r>
          <w:r>
            <w:rPr>
              <w:rFonts w:hint="eastAsia"/>
              <w:lang w:val="en-US" w:eastAsia="zh-CN"/>
            </w:rPr>
            <w:t>质量部</w:t>
          </w:r>
          <w:r>
            <w:tab/>
          </w:r>
          <w:r>
            <w:fldChar w:fldCharType="begin"/>
          </w:r>
          <w:r>
            <w:instrText xml:space="preserve"> PAGEREF _Toc660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_Toc6170 </w:instrText>
          </w:r>
          <w:r>
            <w:rPr>
              <w:rFonts w:ascii="宋体" w:eastAsia="宋体" w:hAnsi="宋体" w:cs="宋体" w:hint="eastAsia"/>
              <w:szCs w:val="24"/>
            </w:rPr>
            <w:fldChar w:fldCharType="separate"/>
          </w:r>
          <w:r>
            <w:rPr>
              <w:rFonts w:hint="default"/>
              <w:lang w:val="en-US" w:eastAsia="zh-CN"/>
            </w:rPr>
            <w:t xml:space="preserve">2.5. </w:t>
          </w:r>
          <w:r>
            <w:rPr>
              <w:rFonts w:hint="eastAsia"/>
              <w:lang w:val="en-US" w:eastAsia="zh-CN"/>
            </w:rPr>
            <w:t>采购部</w:t>
          </w:r>
          <w:r>
            <w:tab/>
          </w:r>
          <w:r>
            <w:fldChar w:fldCharType="begin"/>
          </w:r>
          <w:r>
            <w:instrText xml:space="preserve"> PAGEREF _Toc6170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_Toc25514 </w:instrText>
          </w:r>
          <w:r>
            <w:rPr>
              <w:rFonts w:ascii="宋体" w:eastAsia="宋体" w:hAnsi="宋体" w:cs="宋体" w:hint="eastAsia"/>
              <w:szCs w:val="24"/>
            </w:rPr>
            <w:fldChar w:fldCharType="separate"/>
          </w:r>
          <w:r>
            <w:rPr>
              <w:rFonts w:hint="default"/>
              <w:lang w:val="en-US" w:eastAsia="zh-CN"/>
            </w:rPr>
            <w:t xml:space="preserve">2.6. </w:t>
          </w:r>
          <w:r>
            <w:rPr>
              <w:rFonts w:hint="eastAsia"/>
              <w:lang w:val="en-US" w:eastAsia="zh-CN"/>
            </w:rPr>
            <w:t>应急管理部</w:t>
          </w:r>
          <w:r>
            <w:tab/>
          </w:r>
          <w:r>
            <w:fldChar w:fldCharType="begin"/>
          </w:r>
          <w:r>
            <w:instrText xml:space="preserve"> PAGEREF _Toc25514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7622"/>
      <w:r>
        <w:rPr>
          <w:rFonts w:hint="eastAsia"/>
          <w:lang w:val="en-US" w:eastAsia="zh-CN"/>
        </w:rPr>
        <w:t>组织架构图</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eastAsiaTheme="minorEastAsia" w:hint="eastAsia"/>
          <w:lang w:val="en-US" w:eastAsia="zh-CN"/>
        </w:rPr>
        <w:t>重庆市鹧鸪哨信息技术有限责任公司一级部门有运维部、研发部、人力部、质量部、采购部、应急管理部。其中运维部下设服务台、备件库、服务知识。如图1-1所示。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rPr>
      </w:pPr>
      <w:r>
        <w:rPr>
          <w:rFonts w:hint="eastAsia"/>
          <w:lang w:val="en-US" w:eastAsia="zh-CN"/>
        </w:rPr>
        <w:t>图1-1鹧鸪哨组织架构</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3" w:name="_GoBack"/>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15.4pt;width:499.8pt" o:oleicon="f" o:ole="" coordsize="21600,21600" o:preferrelative="t" filled="f" stroked="f">
            <v:imagedata r:id="rId5" o:title=""/>
            <o:lock v:ext="edit" aspectratio="t"/>
            <w10:anchorlock/>
          </v:shape>
          <o:OLEObject Type="Embed" ProgID="Visio.Drawing.15" ShapeID="_x0000_i1025" DrawAspect="Content" ObjectID="_1468075725" r:id="rId6"/>
        </w:object>
      </w:r>
      <w:bookmarkEnd w:id="3"/>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7691"/>
      <w:r>
        <w:rPr>
          <w:rFonts w:hint="eastAsia"/>
          <w:lang w:val="en-US" w:eastAsia="zh-CN"/>
        </w:rPr>
        <w:t>部门职责说明</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1722"/>
      <w:r>
        <w:rPr>
          <w:rFonts w:hint="eastAsia"/>
          <w:lang w:val="en-US" w:eastAsia="zh-CN"/>
        </w:rPr>
        <w:t>运维部</w:t>
      </w:r>
      <w:bookmarkEnd w:id="5"/>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建立并完善公司运维服务规范，落实事件、问题、变更等ITSS管理流程的落地执行；</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受理客户及业务部门申告，并派发事件受理单和支持派工单；</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负责跟踪、记录运行维护类项目工作状态，确保运维项目实施过程规范和有序；</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负责按照公司要求准时提交运维服务相关的报表及报告，参与服务质量度量与改进；</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负责服务知识管理，支撑知识库的构建与持续优化；</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负责处理项目现场应急处置方面的需求，建立与研发部、采购部的应急联络机制，以确保应急处置的快速响应；</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负责协调公司各种资源完成订单交付实施工作，解决产品交付过程中的各种问题；</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负责产品交付客户后的售后服务工作，解决客户产品运行中的问题以及产品升级迭代服务工作，负责远程或者驻场提供运维服务；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负责公司运维服务项目的实施交付，统筹人员、资源与技术保障。</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制定与演练应急预案：负责制定公司运维服务各类场景下的应急预案（如系统瘫痪、网络攻击、数据丢失等），并定期组织应急演练，提升团队应急响应能力与实战水平。</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建立应急响应机制与流程：明确应急事件的等级划分、响应时限、升级路径与闭环流程，确保突发事件从发现、报告、处置到复盘均有章可循。</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搭建7×24小时应急联络渠道：确保客户、业务部门及内部团队能通过电话、即时通讯、运维平台等多种方式随时触发应急响应，保证关键时段和节假日响应不中断。</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组建并培训应急响应小组：明确小组成员、角色职责（如指挥、技术、协调、通报），定期组织应急技能培训，确保突发事件发生时能快速集结并有效处置。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事后复盘与改进驱动：每次应急处置结束后，组织复盘分析，形成应急报告，并推动问题根因整改，将应急经验反哺至事件、问题及变更管理流程中。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4773"/>
      <w:r>
        <w:rPr>
          <w:rFonts w:hint="eastAsia"/>
          <w:lang w:val="en-US" w:eastAsia="zh-CN"/>
        </w:rPr>
        <w:t>服务台</w:t>
      </w:r>
      <w:bookmarkEnd w:id="6"/>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负责承担服务台职能,建立并完善</w:t>
      </w:r>
      <w:r>
        <w:rPr>
          <w:rFonts w:hint="eastAsia"/>
          <w:lang w:val="en-US" w:eastAsia="zh-CN"/>
        </w:rPr>
        <w:t>服务台</w:t>
      </w:r>
      <w:r>
        <w:t>服务规范；</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负责客户满意度调查、分析、改进，对交付项目的执行结果、客户满意度调查结果负责。</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负责按照公司要求定时提报客户满意度报告；</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负责接听现场应急处置方面的需求，建立与运维部的应急联络机制，以确保应急处置的快速响应。</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负责已售产品客户来访（电话、微信、网站等）问题的整理、解答和回访，客户投诉的处理。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9168"/>
      <w:r>
        <w:rPr>
          <w:rFonts w:hint="eastAsia"/>
          <w:lang w:val="en-US" w:eastAsia="zh-CN"/>
        </w:rPr>
        <w:t>备件库</w:t>
      </w:r>
      <w:bookmarkEnd w:id="7"/>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负责物资的收、存工作；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负责仓储成品、备品备件的库存管理、分类存放，建立备件预警机制，保障运维服务响应时效；</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负责仓库的安全、整理工作，月度盘点工作；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负责物品出入库程序查核，做到当日单据当日清理；</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物流路线的优化选择；</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物流服务商的管理及开发等；</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物流发货流程制定并执行；</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配合运维部建立备件应急调配机制，确保故障处理时备件及时到位。</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5418"/>
      <w:r>
        <w:rPr>
          <w:rFonts w:hint="eastAsia"/>
          <w:lang w:val="en-US" w:eastAsia="zh-CN"/>
        </w:rPr>
        <w:t>服务知识</w:t>
      </w:r>
      <w:bookmarkEnd w:id="8"/>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知识采集整合：从各类运维实践中采集、验证并整合有效解决方案，形成知识条目。</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服务知识</w:t>
      </w:r>
      <w:r>
        <w:rPr>
          <w:rFonts w:hint="default"/>
          <w:lang w:val="en-US" w:eastAsia="zh-CN"/>
        </w:rPr>
        <w:t>管理：负责</w:t>
      </w:r>
      <w:r>
        <w:rPr>
          <w:rFonts w:hint="eastAsia"/>
          <w:lang w:val="en-US" w:eastAsia="zh-CN"/>
        </w:rPr>
        <w:t>服务知识</w:t>
      </w:r>
      <w:r>
        <w:rPr>
          <w:rFonts w:hint="default"/>
          <w:lang w:val="en-US" w:eastAsia="zh-CN"/>
        </w:rPr>
        <w:t>的构建、更新与维护，确保知识分类清晰、内容准确易用。</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知识共享推广：通过培训和文化建设，推动知识在团队内部的共享、学习与广泛应用。</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知识应用支持：赋能一线人员快速应用知识解决问题，提升服务效率与客户满意度。</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质量持续改进：监控知识有效性，基于反馈持续优化知识内容与管理流程。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9597"/>
      <w:r>
        <w:rPr>
          <w:rFonts w:hint="eastAsia"/>
          <w:lang w:val="en-US" w:eastAsia="zh-CN"/>
        </w:rPr>
        <w:t>研发部</w:t>
      </w:r>
      <w:bookmarkEnd w:id="9"/>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软件产品研发的立项、架构设计、程序开发、功能测试等；</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软件项目资料的标准化管理；</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软件使用说明材料的编订和培训，</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负责运维工具的研制与开发。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1581"/>
      <w:r>
        <w:rPr>
          <w:rFonts w:hint="eastAsia"/>
          <w:lang w:val="en-US" w:eastAsia="zh-CN"/>
        </w:rPr>
        <w:t>人力部</w:t>
      </w:r>
      <w:bookmarkEnd w:id="10"/>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负责组织发展管理（组织设计、岗位设计、业务流程梳理、任职资格与胜任能力模型）</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负责人才供应链管理（招聘、培训、人才梯队、人才盘点、职业发展）</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负责人才价值链管理（薪酬、绩效、激励、动态升降）</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负责企业文化和员工关系管理；</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负责劳动人事管理等其他事务性工作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660"/>
      <w:r>
        <w:rPr>
          <w:rFonts w:hint="eastAsia"/>
          <w:lang w:val="en-US" w:eastAsia="zh-CN"/>
        </w:rPr>
        <w:t>质量部</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t>质量部作为公司ITSS运维服务质量管理的主导部门，全面负责运维服务全生命周期的质量策划、控制、保证与改进工作。该部门以ITSS标准为指引，建立并持续优化运维服务质量体系，确保服务过程规范、成果可度量、问题可追溯、改进可落地，是推动公司运维服务能力提升与客户满意度持续增长的核心支撑部门。具体职责如下：</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负责制定、维护并持续优化IT服务质量管理体系及相关流程、规范，确保其符合ITSS标准及业务发展要求。</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通过日常检查、审计或抽查等方式，监督各项IT服务过程（如事件、问题、变更管理）的执行符合既定流程与标准。</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定期组织对IT服务交付成果（如系统稳定性、项目交付物、SLA达成情况）进行测量、分析和评估，出具质量报告。</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负责识别、记录服务过程中的不符合项，推动责任部门进行根本原因分析并制定纠正预防措施，跟踪验证措施有效性。</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主导质量检查单、审计报告、度量指标等质量管理工具和文档的设计与管理，确保质量活动记录完整、可追溯。</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eastAsia"/>
        </w:rPr>
      </w:pPr>
      <w:r>
        <w:rPr>
          <w:rFonts w:hint="eastAsia"/>
        </w:rPr>
        <w:t>在公司内部宣贯质量方针与目标，组织相关质量培训，提升全员的质量意识和过程遵循能力。</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rPr>
          <w:rFonts w:hint="eastAsia"/>
        </w:rPr>
        <w:t>协助和服务管理部门，基于质量数据分析结果，共同策划和实施服务改进计划，推动服务质量的持续提升。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6170"/>
      <w:r>
        <w:rPr>
          <w:rFonts w:hint="eastAsia"/>
          <w:lang w:val="en-US" w:eastAsia="zh-CN"/>
        </w:rPr>
        <w:t>采购部</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采购部承担公司供应链管理与采购执行的核心职能，负责从供应商开发、采购执行到成本控制的全流程管理，保障公司运维服务、研发生产及日常运营所需的物资、配件及外协资源的及时、合规、高效供应。该部门以保障运维服务响应时效与项目交付质量为前提，建立并持续优化采购与物流管理制度，是公司服务能力支撑体系的重要组成部分。具体职责包括：</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采购制度与流程建设：负责制定并完善公司采购管理相关制度、流程与操作规范，确保采购活动公开、透明、合规、高效。</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供应商开发与管理：建立并维护供应商评估、准入、考核与退出机制，持续优化供应商资源库，保障采购质量与交付稳定性。</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采购执行：负责原材料、配件、外协件、生产及研发设备、仪器工具等各类物资的采购工作，确保满足业务需求与交付时效。</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成本控制与账期管理：通过价格谈判、采购策略优化等方式控制采购成本，统筹管理供应商账期，提升公司资金使用效率。</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物流与仓储协同：与运维部备件库协同，优化物流路线与管理发货流程，确保备件及物资在应急响应中的及时调配。</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采购风险与合规管理：识别采购过程中的合规与供应风险，建立风险预警与应对机制，保障公司采购活动安全、稳定、可持续。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5514"/>
      <w:r>
        <w:rPr>
          <w:rFonts w:hint="eastAsia"/>
          <w:lang w:val="en-US" w:eastAsia="zh-CN"/>
        </w:rPr>
        <w:t>应急管理部</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根据应急要求，可临时成立支持业务需求的指挥组、技术组等。</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应急体系与预案管理：负责建立、维护公司统一的应急响应体系，制定、评审和更新各类应急预案。</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应急监控与预警：实时监控运维服务状态，识别潜在风险并发布预警信息，启动应急响应流程。</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应急指挥与协调：作为应急指挥中心，协调内外部资源进行应急处置，确保快速、有序恢复服务。</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应急演练与培训：定期组织应急演练与培训，提升团队的应急响应能力和协同作战水平。</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应急复盘与改进：主导应急事件的复盘分析，推动整改措施落地，持续优化应急流程与预案。</w:t>
      </w:r>
    </w:p>
    <w:sectPr>
      <w:headerReference w:type="even" r:id="rId7"/>
      <w:headerReference w:type="default" r:id="rId8"/>
      <w:footerReference w:type="even" r:id="rId9"/>
      <w:footerReference w:type="default" r:id="rId10"/>
      <w:headerReference w:type="first" r:id="rId11"/>
      <w:footerReference w:type="first" r:id="rId12"/>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13D32FA"/>
    <w:multiLevelType w:val="singleLevel"/>
    <w:tmpl w:val="813D32F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9D3534D"/>
    <w:multiLevelType w:val="singleLevel"/>
    <w:tmpl w:val="99D3534D"/>
    <w:lvl w:ilvl="0">
      <w:start w:val="1"/>
      <w:numFmt w:val="decimal"/>
      <w:lvlText w:val="%1."/>
      <w:lvlJc w:val="left"/>
      <w:pPr>
        <w:ind w:left="425" w:hanging="425"/>
      </w:pPr>
      <w:rPr>
        <w:rFonts w:hint="default"/>
      </w:rPr>
    </w:lvl>
  </w:abstractNum>
  <w:abstractNum w:abstractNumId="3">
    <w:nsid w:val="AE33AD07"/>
    <w:multiLevelType w:val="singleLevel"/>
    <w:tmpl w:val="AE33AD07"/>
    <w:lvl w:ilvl="0">
      <w:start w:val="1"/>
      <w:numFmt w:val="decimal"/>
      <w:lvlText w:val="%1."/>
      <w:lvlJc w:val="left"/>
      <w:pPr>
        <w:ind w:left="425" w:hanging="425"/>
      </w:pPr>
      <w:rPr>
        <w:rFonts w:hint="default"/>
      </w:rPr>
    </w:lvl>
  </w:abstractNum>
  <w:abstractNum w:abstractNumId="4">
    <w:nsid w:val="AE771C7D"/>
    <w:multiLevelType w:val="singleLevel"/>
    <w:tmpl w:val="AE771C7D"/>
    <w:lvl w:ilvl="0">
      <w:start w:val="1"/>
      <w:numFmt w:val="decimal"/>
      <w:lvlText w:val="%1."/>
      <w:lvlJc w:val="left"/>
      <w:pPr>
        <w:ind w:left="425" w:hanging="425"/>
      </w:pPr>
      <w:rPr>
        <w:rFonts w:hint="default"/>
      </w:rPr>
    </w:lvl>
  </w:abstractNum>
  <w:abstractNum w:abstractNumId="5">
    <w:nsid w:val="C509A27E"/>
    <w:multiLevelType w:val="singleLevel"/>
    <w:tmpl w:val="C509A27E"/>
    <w:lvl w:ilvl="0">
      <w:start w:val="1"/>
      <w:numFmt w:val="decimal"/>
      <w:lvlText w:val="%1."/>
      <w:lvlJc w:val="left"/>
      <w:pPr>
        <w:ind w:left="425" w:hanging="425"/>
      </w:pPr>
      <w:rPr>
        <w:rFonts w:hint="default"/>
      </w:rPr>
    </w:lvl>
  </w:abstractNum>
  <w:abstractNum w:abstractNumId="6">
    <w:nsid w:val="0FF16FE7"/>
    <w:multiLevelType w:val="singleLevel"/>
    <w:tmpl w:val="0FF16FE7"/>
    <w:lvl w:ilvl="0">
      <w:start w:val="1"/>
      <w:numFmt w:val="decimal"/>
      <w:lvlText w:val="%1."/>
      <w:lvlJc w:val="left"/>
      <w:pPr>
        <w:ind w:left="425" w:hanging="425"/>
      </w:pPr>
      <w:rPr>
        <w:rFonts w:hint="default"/>
      </w:rPr>
    </w:lvl>
  </w:abstractNum>
  <w:abstractNum w:abstractNumId="7">
    <w:nsid w:val="1356DF08"/>
    <w:multiLevelType w:val="singleLevel"/>
    <w:tmpl w:val="1356DF08"/>
    <w:lvl w:ilvl="0">
      <w:start w:val="1"/>
      <w:numFmt w:val="decimal"/>
      <w:lvlText w:val="%1."/>
      <w:lvlJc w:val="left"/>
      <w:pPr>
        <w:ind w:left="425" w:hanging="425"/>
      </w:pPr>
      <w:rPr>
        <w:rFonts w:hint="default"/>
      </w:rPr>
    </w:lvl>
  </w:abstractNum>
  <w:abstractNum w:abstractNumId="8">
    <w:nsid w:val="63805618"/>
    <w:multiLevelType w:val="singleLevel"/>
    <w:tmpl w:val="63805618"/>
    <w:lvl w:ilvl="0">
      <w:start w:val="1"/>
      <w:numFmt w:val="decimal"/>
      <w:lvlText w:val="%1."/>
      <w:lvlJc w:val="left"/>
      <w:pPr>
        <w:ind w:left="425" w:hanging="425"/>
      </w:pPr>
      <w:rPr>
        <w:rFonts w:hint="default"/>
      </w:rPr>
    </w:lvl>
  </w:abstractNum>
  <w:abstractNum w:abstractNumId="9">
    <w:nsid w:val="6CFB6C05"/>
    <w:multiLevelType w:val="singleLevel"/>
    <w:tmpl w:val="6CFB6C05"/>
    <w:lvl w:ilvl="0">
      <w:start w:val="1"/>
      <w:numFmt w:val="decimal"/>
      <w:lvlText w:val="%1."/>
      <w:lvlJc w:val="left"/>
      <w:pPr>
        <w:ind w:left="425" w:hanging="425"/>
      </w:pPr>
      <w:rPr>
        <w:rFonts w:hint="default"/>
      </w:rPr>
    </w:lvl>
  </w:abstractNum>
  <w:num w:numId="1">
    <w:abstractNumId w:val="1"/>
  </w:num>
  <w:num w:numId="2">
    <w:abstractNumId w:val="7"/>
  </w:num>
  <w:num w:numId="3">
    <w:abstractNumId w:val="6"/>
  </w:num>
  <w:num w:numId="4">
    <w:abstractNumId w:val="9"/>
  </w:num>
  <w:num w:numId="5">
    <w:abstractNumId w:val="8"/>
  </w:num>
  <w:num w:numId="6">
    <w:abstractNumId w:val="5"/>
  </w:num>
  <w:num w:numId="7">
    <w:abstractNumId w:val="4"/>
  </w:num>
  <w:num w:numId="8">
    <w:abstractNumId w:val="2"/>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header" Target="header3.xml" /><Relationship Id="rId12" Type="http://schemas.openxmlformats.org/officeDocument/2006/relationships/footer" Target="footer3.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emf" /><Relationship Id="rId6" Type="http://schemas.openxmlformats.org/officeDocument/2006/relationships/oleObject" Target="embeddings/oleObject1.bin"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footer" Target="footer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Pages>8</Pages>
  <Words>2882</Words>
  <Characters>2993</Characters>
  <Application>Microsoft Office Word</Application>
  <DocSecurity>0</DocSecurity>
  <Lines>0</Lines>
  <Paragraphs>0</Paragraphs>
  <ScaleCrop>false</ScaleCrop>
  <Company/>
  <LinksUpToDate>false</LinksUpToDate>
  <CharactersWithSpaces>3043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2026-06-30T09:57:16Z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