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85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8822"/>
      <w:r>
        <w:rPr>
          <w:rFonts w:hint="eastAsia"/>
          <w:lang w:val="en-US" w:eastAsia="zh-CN"/>
        </w:rPr>
        <w:t>运维服务能力管理指标体系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文件编号：ZGS-03-03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_Toc23853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运维服务能力管理指标体系</w:t>
          </w:r>
          <w:r>
            <w:tab/>
          </w:r>
          <w:r>
            <w:fldChar w:fldCharType="begin"/>
          </w:r>
          <w:r>
            <w:instrText xml:space="preserve"> PAGEREF _Toc18822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a1"/>
        <w:bidi w:val="0"/>
        <w:ind w:left="0" w:right="0" w:firstLine="0" w:leftChars="0" w:rightChars="0" w:firstLineChars="0"/>
        <w:jc w:val="center"/>
        <w:rPr>
          <w:rFonts w:hint="eastAsia"/>
          <w:b/>
          <w:bCs/>
          <w:lang w:val="en-US" w:eastAsia="zh-CN"/>
        </w:rPr>
      </w:pPr>
      <w:r>
        <w:rPr>
          <w:lang w:val="en-US" w:eastAsia="en-US"/>
        </w:rPr>
        <w:br w:type="page"/>
      </w:r>
      <w:r>
        <w:rPr>
          <w:rFonts w:hint="eastAsia"/>
          <w:b/>
          <w:bCs/>
          <w:lang w:val="en-US" w:eastAsia="zh-CN"/>
        </w:rPr>
        <w:t>运维服务能力指标体系</w:t>
      </w:r>
    </w:p>
    <w:tbl>
      <w:tblPr>
        <w:tblStyle w:val="TableNormal"/>
        <w:tblW w:w="9024" w:type="dxa"/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086"/>
        <w:gridCol w:w="1435"/>
        <w:gridCol w:w="2966"/>
        <w:gridCol w:w="757"/>
        <w:gridCol w:w="968"/>
        <w:gridCol w:w="876"/>
      </w:tblGrid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2022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296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计算公式/方法</w:t>
            </w:r>
          </w:p>
        </w:tc>
        <w:tc>
          <w:tcPr>
            <w:tcW w:w="75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96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87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ascii="仿宋" w:hAnsi="仿宋" w:cs="宋体" w:hint="eastAsia"/>
                <w:b/>
                <w:bCs/>
                <w:kern w:val="0"/>
                <w:sz w:val="21"/>
                <w:szCs w:val="21"/>
              </w:rPr>
              <w:t>责任部门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022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（实际人数/计划储备人数）*100%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022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（累计培训课程数/计划培训课程数）*100%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022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（实际到岗人数/计划招聘人数）*100%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022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（考核合格人数/考核总人数）*100%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022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能力评价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合格率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能力评价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合格人数/</w:t>
            </w: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能力评价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总人数）*100%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022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人员备份完成率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（实际备份到岗人数/计划备份人数）*100%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人力部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022" w:type="dxa"/>
            <w:gridSpan w:val="2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（实际投入资金/计划投入资金）*100%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数量，运维工具自评估报告数量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(1-考核期内关键备件缺货次数 / 考核期内关键备件总需求次数)*100%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（引用知识库解决的工单数/考核期内工单总数）*100%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数量，每季度新录入的服务知识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（生产环境中与最终软件库版本一致的组件数/发布版本总数）*100%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（1 - 考核期内发现的数据错误记录数 / 抽样检查的总数据记录数）* 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(变</w:t>
            </w: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更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成功次数/变更总次数)×100%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(准确配置次数/配置总次数)×100%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(服务约定运行时间-服务不可用时间)/服务约定运行时间×100%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及时交付数量/总交付数量*100%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数量，应急演练报告数量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运维部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  <w:t>∑（样本数*对应分值*权重）/（样本总数*100）*100%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left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数量，内审报告数量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left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数量，管评报告数量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  <w:tr>
        <w:tblPrEx>
          <w:tblW w:w="9024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936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客户投诉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投诉次数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所有运维项目，客户投诉次数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≤3次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质量部</w:t>
            </w:r>
          </w:p>
        </w:tc>
      </w:tr>
    </w:tbl>
    <w:p>
      <w:pPr>
        <w:pStyle w:val="a1"/>
        <w:bidi w:val="0"/>
        <w:ind w:left="0" w:right="0" w:firstLine="0" w:leftChars="0" w:rightChars="0" w:firstLineChars="0"/>
        <w:jc w:val="both"/>
        <w:rPr>
          <w:rFonts w:hint="default"/>
          <w:b/>
          <w:bCs/>
          <w:lang w:val="en-US" w:eastAsia="zh-CN"/>
        </w:rPr>
      </w:pP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1280</Words>
  <Characters>1475</Characters>
  <Application>Microsoft Office Word</Application>
  <DocSecurity>0</DocSecurity>
  <Lines>0</Lines>
  <Paragraphs>0</Paragraphs>
  <ScaleCrop>false</ScaleCrop>
  <Company/>
  <LinksUpToDate>false</LinksUpToDate>
  <CharactersWithSpaces>1485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2026-05-24T15:47:15Z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