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901"/>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31422"/>
      <w:r>
        <w:rPr>
          <w:rFonts w:hint="eastAsia"/>
          <w:lang w:val="en-US" w:eastAsia="zh-CN"/>
        </w:rPr>
        <w:t>2025年度运维服务能力管理计划</w:t>
      </w:r>
      <w:bookmarkEnd w:id="1"/>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文件编号：ZGS-03-04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刘长凡</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_Toc6901 </w:instrText>
          </w:r>
          <w:r>
            <w:rPr>
              <w:rFonts w:ascii="宋体" w:eastAsia="宋体" w:hAnsi="宋体" w:cs="宋体" w:hint="eastAsia"/>
              <w:szCs w:val="24"/>
            </w:rPr>
            <w:fldChar w:fldCharType="separate"/>
          </w:r>
          <w:r>
            <w:rPr>
              <w:rFonts w:hint="eastAsia"/>
              <w:lang w:val="en-US" w:eastAsia="zh-CN"/>
            </w:rPr>
            <w:t>重庆市鹧鸪哨信息技术有限责任公司</w:t>
          </w:r>
          <w:r>
            <w:tab/>
          </w:r>
          <w:r>
            <w:fldChar w:fldCharType="begin"/>
          </w:r>
          <w:r>
            <w:instrText xml:space="preserve"> PAGEREF _Toc6901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_Toc31422 </w:instrText>
          </w:r>
          <w:r>
            <w:rPr>
              <w:rFonts w:ascii="宋体" w:eastAsia="宋体" w:hAnsi="宋体" w:cs="宋体" w:hint="eastAsia"/>
              <w:szCs w:val="24"/>
            </w:rPr>
            <w:fldChar w:fldCharType="separate"/>
          </w:r>
          <w:r>
            <w:rPr>
              <w:rFonts w:hint="eastAsia"/>
              <w:lang w:val="en-US" w:eastAsia="zh-CN"/>
            </w:rPr>
            <w:t>2025年度运维服务能力管理计划</w:t>
          </w:r>
          <w:r>
            <w:tab/>
          </w:r>
          <w:r>
            <w:fldChar w:fldCharType="begin"/>
          </w:r>
          <w:r>
            <w:instrText xml:space="preserve"> PAGEREF _Toc31422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_Toc19312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_Toc19312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_Toc30051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公司沿革与核心优势</w:t>
          </w:r>
          <w:r>
            <w:tab/>
          </w:r>
          <w:r>
            <w:fldChar w:fldCharType="begin"/>
          </w:r>
          <w:r>
            <w:instrText xml:space="preserve"> PAGEREF _Toc30051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_Toc7907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引入ITSS的必要性</w:t>
          </w:r>
          <w:r>
            <w:tab/>
          </w:r>
          <w:r>
            <w:fldChar w:fldCharType="begin"/>
          </w:r>
          <w:r>
            <w:instrText xml:space="preserve"> PAGEREF _Toc7907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_Toc31245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_Toc31245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_Toc14467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_Toc14467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_Toc18547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服务台能力强化</w:t>
          </w:r>
          <w:r>
            <w:tab/>
          </w:r>
          <w:r>
            <w:fldChar w:fldCharType="begin"/>
          </w:r>
          <w:r>
            <w:instrText xml:space="preserve"> PAGEREF _Toc18547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_Toc17695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运维工具整合与研发</w:t>
          </w:r>
          <w:r>
            <w:tab/>
          </w:r>
          <w:r>
            <w:fldChar w:fldCharType="begin"/>
          </w:r>
          <w:r>
            <w:instrText xml:space="preserve"> PAGEREF _Toc17695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_Toc24145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备品备件标准化与可用性管理</w:t>
          </w:r>
          <w:r>
            <w:tab/>
          </w:r>
          <w:r>
            <w:fldChar w:fldCharType="begin"/>
          </w:r>
          <w:r>
            <w:instrText xml:space="preserve"> PAGEREF _Toc24145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_Toc26372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服务知识管理与知识固化</w:t>
          </w:r>
          <w:r>
            <w:tab/>
          </w:r>
          <w:r>
            <w:fldChar w:fldCharType="begin"/>
          </w:r>
          <w:r>
            <w:instrText xml:space="preserve"> PAGEREF _Toc26372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_Toc2626 </w:instrText>
          </w:r>
          <w:r>
            <w:rPr>
              <w:rFonts w:ascii="宋体" w:eastAsia="宋体" w:hAnsi="宋体" w:cs="宋体" w:hint="eastAsia"/>
              <w:szCs w:val="24"/>
            </w:rPr>
            <w:fldChar w:fldCharType="separate"/>
          </w:r>
          <w:r>
            <w:rPr>
              <w:rFonts w:hint="default"/>
              <w:lang w:val="en-US" w:eastAsia="zh-CN"/>
            </w:rPr>
            <w:t xml:space="preserve">1.4.5. </w:t>
          </w:r>
          <w:r>
            <w:rPr>
              <w:rFonts w:hint="eastAsia"/>
              <w:lang w:val="en-US" w:eastAsia="zh-CN"/>
            </w:rPr>
            <w:t>最终软件库建设</w:t>
          </w:r>
          <w:r>
            <w:tab/>
          </w:r>
          <w:r>
            <w:fldChar w:fldCharType="begin"/>
          </w:r>
          <w:r>
            <w:instrText xml:space="preserve"> PAGEREF _Toc2626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_Toc31225 </w:instrText>
          </w:r>
          <w:r>
            <w:rPr>
              <w:rFonts w:ascii="宋体" w:eastAsia="宋体" w:hAnsi="宋体" w:cs="宋体" w:hint="eastAsia"/>
              <w:szCs w:val="24"/>
            </w:rPr>
            <w:fldChar w:fldCharType="separate"/>
          </w:r>
          <w:r>
            <w:rPr>
              <w:rFonts w:hint="default"/>
              <w:lang w:val="en-US" w:eastAsia="zh-CN"/>
            </w:rPr>
            <w:t xml:space="preserve">1.4.6. </w:t>
          </w:r>
          <w:r>
            <w:rPr>
              <w:rFonts w:hint="eastAsia"/>
              <w:lang w:val="en-US" w:eastAsia="zh-CN"/>
            </w:rPr>
            <w:t>服务数据应用</w:t>
          </w:r>
          <w:r>
            <w:tab/>
          </w:r>
          <w:r>
            <w:fldChar w:fldCharType="begin"/>
          </w:r>
          <w:r>
            <w:instrText xml:space="preserve"> PAGEREF _Toc31225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_Toc10806 </w:instrText>
          </w:r>
          <w:r>
            <w:rPr>
              <w:rFonts w:ascii="宋体" w:eastAsia="宋体" w:hAnsi="宋体" w:cs="宋体" w:hint="eastAsia"/>
              <w:szCs w:val="24"/>
            </w:rPr>
            <w:fldChar w:fldCharType="separate"/>
          </w:r>
          <w:r>
            <w:rPr>
              <w:rFonts w:hint="default"/>
              <w:lang w:val="en-US" w:eastAsia="zh-CN"/>
            </w:rPr>
            <w:t xml:space="preserve">1.5. </w:t>
          </w:r>
          <w:r>
            <w:rPr>
              <w:rFonts w:hint="eastAsia"/>
              <w:lang w:val="en-US" w:eastAsia="zh-CN"/>
            </w:rPr>
            <w:t>研发能力建设</w:t>
          </w:r>
          <w:r>
            <w:tab/>
          </w:r>
          <w:r>
            <w:fldChar w:fldCharType="begin"/>
          </w:r>
          <w:r>
            <w:instrText xml:space="preserve"> PAGEREF _Toc10806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_Toc14407 </w:instrText>
          </w:r>
          <w:r>
            <w:rPr>
              <w:rFonts w:ascii="宋体" w:eastAsia="宋体" w:hAnsi="宋体" w:cs="宋体" w:hint="eastAsia"/>
              <w:szCs w:val="24"/>
            </w:rPr>
            <w:fldChar w:fldCharType="separate"/>
          </w:r>
          <w:r>
            <w:rPr>
              <w:rFonts w:hint="default"/>
              <w:lang w:val="en-US" w:eastAsia="zh-CN"/>
            </w:rPr>
            <w:t xml:space="preserve">1.6. </w:t>
          </w:r>
          <w:r>
            <w:rPr>
              <w:rFonts w:hint="eastAsia"/>
              <w:lang w:val="en-US" w:eastAsia="zh-CN"/>
            </w:rPr>
            <w:t>规范业务流程</w:t>
          </w:r>
          <w:r>
            <w:tab/>
          </w:r>
          <w:r>
            <w:fldChar w:fldCharType="begin"/>
          </w:r>
          <w:r>
            <w:instrText xml:space="preserve"> PAGEREF _Toc14407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_Toc6890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运维发展方向和目标</w:t>
          </w:r>
          <w:r>
            <w:tab/>
          </w:r>
          <w:r>
            <w:fldChar w:fldCharType="begin"/>
          </w:r>
          <w:r>
            <w:instrText xml:space="preserve"> PAGEREF _Toc6890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_Toc20718 </w:instrText>
          </w:r>
          <w:r>
            <w:rPr>
              <w:rFonts w:ascii="宋体" w:eastAsia="宋体" w:hAnsi="宋体" w:cs="宋体" w:hint="eastAsia"/>
              <w:szCs w:val="24"/>
            </w:rPr>
            <w:fldChar w:fldCharType="separate"/>
          </w:r>
          <w:r>
            <w:rPr>
              <w:rFonts w:hint="default"/>
              <w:lang w:val="en-US" w:eastAsia="zh-CN"/>
            </w:rPr>
            <w:t>2.1. 总体发展方向</w:t>
          </w:r>
          <w:r>
            <w:tab/>
          </w:r>
          <w:r>
            <w:fldChar w:fldCharType="begin"/>
          </w:r>
          <w:r>
            <w:instrText xml:space="preserve"> PAGEREF _Toc20718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_Toc18378 </w:instrText>
          </w:r>
          <w:r>
            <w:rPr>
              <w:rFonts w:ascii="宋体" w:eastAsia="宋体" w:hAnsi="宋体" w:cs="宋体" w:hint="eastAsia"/>
              <w:szCs w:val="24"/>
            </w:rPr>
            <w:fldChar w:fldCharType="separate"/>
          </w:r>
          <w:r>
            <w:rPr>
              <w:rFonts w:hint="default"/>
              <w:lang w:val="en-US" w:eastAsia="zh-CN"/>
            </w:rPr>
            <w:t>2.2. 阶段性发展目标</w:t>
          </w:r>
          <w:r>
            <w:tab/>
          </w:r>
          <w:r>
            <w:fldChar w:fldCharType="begin"/>
          </w:r>
          <w:r>
            <w:instrText xml:space="preserve"> PAGEREF _Toc18378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_Toc16490 </w:instrText>
          </w:r>
          <w:r>
            <w:rPr>
              <w:rFonts w:ascii="宋体" w:eastAsia="宋体" w:hAnsi="宋体" w:cs="宋体" w:hint="eastAsia"/>
              <w:szCs w:val="24"/>
            </w:rPr>
            <w:fldChar w:fldCharType="separate"/>
          </w:r>
          <w:r>
            <w:rPr>
              <w:rFonts w:hint="default"/>
              <w:lang w:val="en-US" w:eastAsia="zh-CN"/>
            </w:rPr>
            <w:t>2.2.1. 短期目标（未来1年）</w:t>
          </w:r>
          <w:r>
            <w:tab/>
          </w:r>
          <w:r>
            <w:fldChar w:fldCharType="begin"/>
          </w:r>
          <w:r>
            <w:instrText xml:space="preserve"> PAGEREF _Toc16490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_Toc1823 </w:instrText>
          </w:r>
          <w:r>
            <w:rPr>
              <w:rFonts w:ascii="宋体" w:eastAsia="宋体" w:hAnsi="宋体" w:cs="宋体" w:hint="eastAsia"/>
              <w:szCs w:val="24"/>
            </w:rPr>
            <w:fldChar w:fldCharType="separate"/>
          </w:r>
          <w:r>
            <w:rPr>
              <w:rFonts w:hint="default"/>
              <w:lang w:val="en-US" w:eastAsia="zh-CN"/>
            </w:rPr>
            <w:t>2.2.2. 中长期目标（未来2-3年）</w:t>
          </w:r>
          <w:r>
            <w:tab/>
          </w:r>
          <w:r>
            <w:fldChar w:fldCharType="begin"/>
          </w:r>
          <w:r>
            <w:instrText xml:space="preserve"> PAGEREF _Toc1823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_Toc2231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运维服务能力管理计划</w:t>
          </w:r>
          <w:r>
            <w:tab/>
          </w:r>
          <w:r>
            <w:fldChar w:fldCharType="begin"/>
          </w:r>
          <w:r>
            <w:instrText xml:space="preserve"> PAGEREF _Toc2231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_Toc3194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人员管理计划</w:t>
          </w:r>
          <w:r>
            <w:tab/>
          </w:r>
          <w:r>
            <w:fldChar w:fldCharType="begin"/>
          </w:r>
          <w:r>
            <w:instrText xml:space="preserve"> PAGEREF _Toc3194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_Toc2685 </w:instrText>
          </w:r>
          <w:r>
            <w:rPr>
              <w:rFonts w:ascii="宋体" w:eastAsia="宋体" w:hAnsi="宋体" w:cs="宋体" w:hint="eastAsia"/>
              <w:szCs w:val="24"/>
            </w:rPr>
            <w:fldChar w:fldCharType="separate"/>
          </w:r>
          <w:r>
            <w:rPr>
              <w:rFonts w:hint="default"/>
              <w:lang w:val="en-US" w:eastAsia="zh-CN"/>
            </w:rPr>
            <w:t xml:space="preserve">3.1.1. </w:t>
          </w:r>
          <w:r>
            <w:rPr>
              <w:rFonts w:hint="eastAsia"/>
              <w:lang w:val="en-US" w:eastAsia="zh-CN"/>
            </w:rPr>
            <w:t>人员招聘管理计划</w:t>
          </w:r>
          <w:r>
            <w:tab/>
          </w:r>
          <w:r>
            <w:fldChar w:fldCharType="begin"/>
          </w:r>
          <w:r>
            <w:instrText xml:space="preserve"> PAGEREF _Toc2685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_Toc19391 </w:instrText>
          </w:r>
          <w:r>
            <w:rPr>
              <w:rFonts w:ascii="宋体" w:eastAsia="宋体" w:hAnsi="宋体" w:cs="宋体" w:hint="eastAsia"/>
              <w:szCs w:val="24"/>
            </w:rPr>
            <w:fldChar w:fldCharType="separate"/>
          </w:r>
          <w:r>
            <w:rPr>
              <w:rFonts w:hint="default"/>
              <w:lang w:val="en-US" w:eastAsia="zh-CN"/>
            </w:rPr>
            <w:t xml:space="preserve">3.1.2. </w:t>
          </w:r>
          <w:r>
            <w:rPr>
              <w:rFonts w:hint="eastAsia"/>
              <w:lang w:val="en-US" w:eastAsia="zh-CN"/>
            </w:rPr>
            <w:t>人员储备管理计划</w:t>
          </w:r>
          <w:r>
            <w:tab/>
          </w:r>
          <w:r>
            <w:fldChar w:fldCharType="begin"/>
          </w:r>
          <w:r>
            <w:instrText xml:space="preserve"> PAGEREF _Toc19391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_Toc4230 </w:instrText>
          </w:r>
          <w:r>
            <w:rPr>
              <w:rFonts w:ascii="宋体" w:eastAsia="宋体" w:hAnsi="宋体" w:cs="宋体" w:hint="eastAsia"/>
              <w:szCs w:val="24"/>
            </w:rPr>
            <w:fldChar w:fldCharType="separate"/>
          </w:r>
          <w:r>
            <w:rPr>
              <w:rFonts w:hint="default"/>
              <w:lang w:val="en-US" w:eastAsia="zh-CN"/>
            </w:rPr>
            <w:t xml:space="preserve">3.1.3. </w:t>
          </w:r>
          <w:r>
            <w:rPr>
              <w:rFonts w:hint="eastAsia"/>
              <w:lang w:val="en-US" w:eastAsia="zh-CN"/>
            </w:rPr>
            <w:t>人员绩效考核管理计划</w:t>
          </w:r>
          <w:r>
            <w:tab/>
          </w:r>
          <w:r>
            <w:fldChar w:fldCharType="begin"/>
          </w:r>
          <w:r>
            <w:instrText xml:space="preserve"> PAGEREF _Toc4230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_Toc14653 </w:instrText>
          </w:r>
          <w:r>
            <w:rPr>
              <w:rFonts w:ascii="宋体" w:eastAsia="宋体" w:hAnsi="宋体" w:cs="宋体" w:hint="eastAsia"/>
              <w:szCs w:val="24"/>
            </w:rPr>
            <w:fldChar w:fldCharType="separate"/>
          </w:r>
          <w:r>
            <w:rPr>
              <w:rFonts w:hint="default"/>
              <w:lang w:val="en-US" w:eastAsia="zh-CN"/>
            </w:rPr>
            <w:t xml:space="preserve">3.1.4. </w:t>
          </w:r>
          <w:r>
            <w:rPr>
              <w:rFonts w:hint="eastAsia"/>
              <w:lang w:val="en-US" w:eastAsia="zh-CN"/>
            </w:rPr>
            <w:t>人员技能评定管理计划</w:t>
          </w:r>
          <w:r>
            <w:tab/>
          </w:r>
          <w:r>
            <w:fldChar w:fldCharType="begin"/>
          </w:r>
          <w:r>
            <w:instrText xml:space="preserve"> PAGEREF _Toc14653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_Toc26598 </w:instrText>
          </w:r>
          <w:r>
            <w:rPr>
              <w:rFonts w:ascii="宋体" w:eastAsia="宋体" w:hAnsi="宋体" w:cs="宋体" w:hint="eastAsia"/>
              <w:szCs w:val="24"/>
            </w:rPr>
            <w:fldChar w:fldCharType="separate"/>
          </w:r>
          <w:r>
            <w:rPr>
              <w:rFonts w:hint="default"/>
              <w:lang w:val="en-US" w:eastAsia="zh-CN"/>
            </w:rPr>
            <w:t xml:space="preserve">3.1.5. </w:t>
          </w:r>
          <w:r>
            <w:rPr>
              <w:rFonts w:hint="eastAsia"/>
              <w:lang w:val="en-US" w:eastAsia="zh-CN"/>
            </w:rPr>
            <w:t>人员培训管理计划</w:t>
          </w:r>
          <w:r>
            <w:tab/>
          </w:r>
          <w:r>
            <w:fldChar w:fldCharType="begin"/>
          </w:r>
          <w:r>
            <w:instrText xml:space="preserve"> PAGEREF _Toc26598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_Toc30635 </w:instrText>
          </w:r>
          <w:r>
            <w:rPr>
              <w:rFonts w:ascii="宋体" w:eastAsia="宋体" w:hAnsi="宋体" w:cs="宋体" w:hint="eastAsia"/>
              <w:szCs w:val="24"/>
            </w:rPr>
            <w:fldChar w:fldCharType="separate"/>
          </w:r>
          <w:r>
            <w:rPr>
              <w:rFonts w:hint="default"/>
              <w:lang w:val="en-US" w:eastAsia="zh-CN"/>
            </w:rPr>
            <w:t xml:space="preserve">3.1.6. </w:t>
          </w:r>
          <w:r>
            <w:rPr>
              <w:rFonts w:hint="eastAsia"/>
              <w:lang w:val="en-US" w:eastAsia="zh-CN"/>
            </w:rPr>
            <w:t>人员备份管理计划</w:t>
          </w:r>
          <w:r>
            <w:tab/>
          </w:r>
          <w:r>
            <w:fldChar w:fldCharType="begin"/>
          </w:r>
          <w:r>
            <w:instrText xml:space="preserve"> PAGEREF _Toc30635 \h </w:instrText>
          </w:r>
          <w:r>
            <w:fldChar w:fldCharType="separate"/>
          </w:r>
          <w:r>
            <w:t>12</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_Toc29324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资源管理计划</w:t>
          </w:r>
          <w:r>
            <w:tab/>
          </w:r>
          <w:r>
            <w:fldChar w:fldCharType="begin"/>
          </w:r>
          <w:r>
            <w:instrText xml:space="preserve"> PAGEREF _Toc29324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_Toc19215 </w:instrText>
          </w:r>
          <w:r>
            <w:rPr>
              <w:rFonts w:ascii="宋体" w:eastAsia="宋体" w:hAnsi="宋体" w:cs="宋体" w:hint="eastAsia"/>
              <w:szCs w:val="24"/>
            </w:rPr>
            <w:fldChar w:fldCharType="separate"/>
          </w:r>
          <w:r>
            <w:rPr>
              <w:rFonts w:hint="default"/>
              <w:lang w:val="en-US" w:eastAsia="zh-CN"/>
            </w:rPr>
            <w:t xml:space="preserve">3.2.1. </w:t>
          </w:r>
          <w:r>
            <w:rPr>
              <w:rFonts w:hint="eastAsia"/>
              <w:lang w:val="en-US" w:eastAsia="zh-CN"/>
            </w:rPr>
            <w:t>运维工具管理计划</w:t>
          </w:r>
          <w:r>
            <w:tab/>
          </w:r>
          <w:r>
            <w:fldChar w:fldCharType="begin"/>
          </w:r>
          <w:r>
            <w:instrText xml:space="preserve"> PAGEREF _Toc19215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_Toc20228 </w:instrText>
          </w:r>
          <w:r>
            <w:rPr>
              <w:rFonts w:ascii="宋体" w:eastAsia="宋体" w:hAnsi="宋体" w:cs="宋体" w:hint="eastAsia"/>
              <w:szCs w:val="24"/>
            </w:rPr>
            <w:fldChar w:fldCharType="separate"/>
          </w:r>
          <w:r>
            <w:rPr>
              <w:rFonts w:hint="default"/>
              <w:lang w:val="en-US" w:eastAsia="zh-CN"/>
            </w:rPr>
            <w:t xml:space="preserve">3.2.2. </w:t>
          </w:r>
          <w:r>
            <w:rPr>
              <w:rFonts w:hint="eastAsia"/>
              <w:lang w:val="en-US" w:eastAsia="zh-CN"/>
            </w:rPr>
            <w:t>服务台管理计划</w:t>
          </w:r>
          <w:r>
            <w:tab/>
          </w:r>
          <w:r>
            <w:fldChar w:fldCharType="begin"/>
          </w:r>
          <w:r>
            <w:instrText xml:space="preserve"> PAGEREF _Toc20228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_Toc8150 </w:instrText>
          </w:r>
          <w:r>
            <w:rPr>
              <w:rFonts w:ascii="宋体" w:eastAsia="宋体" w:hAnsi="宋体" w:cs="宋体" w:hint="eastAsia"/>
              <w:szCs w:val="24"/>
            </w:rPr>
            <w:fldChar w:fldCharType="separate"/>
          </w:r>
          <w:r>
            <w:rPr>
              <w:rFonts w:hint="default"/>
              <w:lang w:val="en-US" w:eastAsia="zh-CN"/>
            </w:rPr>
            <w:t xml:space="preserve">3.2.3. </w:t>
          </w:r>
          <w:r>
            <w:rPr>
              <w:rFonts w:hint="eastAsia"/>
              <w:lang w:val="en-US" w:eastAsia="zh-CN"/>
            </w:rPr>
            <w:t>备件库管理计划</w:t>
          </w:r>
          <w:r>
            <w:tab/>
          </w:r>
          <w:r>
            <w:fldChar w:fldCharType="begin"/>
          </w:r>
          <w:r>
            <w:instrText xml:space="preserve"> PAGEREF _Toc8150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_Toc18366 </w:instrText>
          </w:r>
          <w:r>
            <w:rPr>
              <w:rFonts w:ascii="宋体" w:eastAsia="宋体" w:hAnsi="宋体" w:cs="宋体" w:hint="eastAsia"/>
              <w:szCs w:val="24"/>
            </w:rPr>
            <w:fldChar w:fldCharType="separate"/>
          </w:r>
          <w:r>
            <w:rPr>
              <w:rFonts w:hint="default"/>
              <w:lang w:val="en-US" w:eastAsia="zh-CN"/>
            </w:rPr>
            <w:t xml:space="preserve">3.2.4. </w:t>
          </w:r>
          <w:r>
            <w:rPr>
              <w:rFonts w:hint="eastAsia"/>
              <w:lang w:val="en-US" w:eastAsia="zh-CN"/>
            </w:rPr>
            <w:t>服务知识管理计划</w:t>
          </w:r>
          <w:r>
            <w:tab/>
          </w:r>
          <w:r>
            <w:fldChar w:fldCharType="begin"/>
          </w:r>
          <w:r>
            <w:instrText xml:space="preserve"> PAGEREF _Toc18366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_Toc12193 </w:instrText>
          </w:r>
          <w:r>
            <w:rPr>
              <w:rFonts w:ascii="宋体" w:eastAsia="宋体" w:hAnsi="宋体" w:cs="宋体" w:hint="eastAsia"/>
              <w:szCs w:val="24"/>
            </w:rPr>
            <w:fldChar w:fldCharType="separate"/>
          </w:r>
          <w:r>
            <w:rPr>
              <w:rFonts w:hint="default"/>
              <w:lang w:val="en-US" w:eastAsia="zh-CN"/>
            </w:rPr>
            <w:t xml:space="preserve">3.2.5. </w:t>
          </w:r>
          <w:r>
            <w:rPr>
              <w:rFonts w:hint="eastAsia"/>
              <w:lang w:val="en-US" w:eastAsia="zh-CN"/>
            </w:rPr>
            <w:t>最终软件库管理计划</w:t>
          </w:r>
          <w:r>
            <w:tab/>
          </w:r>
          <w:r>
            <w:fldChar w:fldCharType="begin"/>
          </w:r>
          <w:r>
            <w:instrText xml:space="preserve"> PAGEREF _Toc12193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_Toc3347 </w:instrText>
          </w:r>
          <w:r>
            <w:rPr>
              <w:rFonts w:ascii="宋体" w:eastAsia="宋体" w:hAnsi="宋体" w:cs="宋体" w:hint="eastAsia"/>
              <w:szCs w:val="24"/>
            </w:rPr>
            <w:fldChar w:fldCharType="separate"/>
          </w:r>
          <w:r>
            <w:rPr>
              <w:rFonts w:hint="default"/>
              <w:lang w:val="en-US" w:eastAsia="zh-CN"/>
            </w:rPr>
            <w:t xml:space="preserve">3.2.6. </w:t>
          </w:r>
          <w:r>
            <w:rPr>
              <w:rFonts w:hint="eastAsia"/>
              <w:lang w:val="en-US" w:eastAsia="zh-CN"/>
            </w:rPr>
            <w:t>服务数据管理计划</w:t>
          </w:r>
          <w:r>
            <w:tab/>
          </w:r>
          <w:r>
            <w:fldChar w:fldCharType="begin"/>
          </w:r>
          <w:r>
            <w:instrText xml:space="preserve"> PAGEREF _Toc3347 \h </w:instrText>
          </w:r>
          <w:r>
            <w:fldChar w:fldCharType="separate"/>
          </w:r>
          <w:r>
            <w:t>13</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_Toc22939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技术管理计划</w:t>
          </w:r>
          <w:r>
            <w:tab/>
          </w:r>
          <w:r>
            <w:fldChar w:fldCharType="begin"/>
          </w:r>
          <w:r>
            <w:instrText xml:space="preserve"> PAGEREF _Toc22939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_Toc6361 </w:instrText>
          </w:r>
          <w:r>
            <w:rPr>
              <w:rFonts w:ascii="宋体" w:eastAsia="宋体" w:hAnsi="宋体" w:cs="宋体" w:hint="eastAsia"/>
              <w:szCs w:val="24"/>
            </w:rPr>
            <w:fldChar w:fldCharType="separate"/>
          </w:r>
          <w:r>
            <w:rPr>
              <w:rFonts w:hint="default"/>
              <w:lang w:val="en-US" w:eastAsia="zh-CN"/>
            </w:rPr>
            <w:t xml:space="preserve">3.3.1. </w:t>
          </w:r>
          <w:r>
            <w:rPr>
              <w:rFonts w:hint="eastAsia"/>
              <w:lang w:val="en-US" w:eastAsia="zh-CN"/>
            </w:rPr>
            <w:t>运维工具二次开发</w:t>
          </w:r>
          <w:r>
            <w:tab/>
          </w:r>
          <w:r>
            <w:fldChar w:fldCharType="begin"/>
          </w:r>
          <w:r>
            <w:instrText xml:space="preserve"> PAGEREF _Toc6361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_Toc12879 </w:instrText>
          </w:r>
          <w:r>
            <w:rPr>
              <w:rFonts w:ascii="宋体" w:eastAsia="宋体" w:hAnsi="宋体" w:cs="宋体" w:hint="eastAsia"/>
              <w:szCs w:val="24"/>
            </w:rPr>
            <w:fldChar w:fldCharType="separate"/>
          </w:r>
          <w:r>
            <w:rPr>
              <w:rFonts w:hint="default"/>
              <w:lang w:val="en-US" w:eastAsia="zh-CN"/>
            </w:rPr>
            <w:t xml:space="preserve">3.3.2. </w:t>
          </w:r>
          <w:r>
            <w:rPr>
              <w:rFonts w:hint="eastAsia"/>
              <w:lang w:val="en-US" w:eastAsia="zh-CN"/>
            </w:rPr>
            <w:t>运维手册研发</w:t>
          </w:r>
          <w:r>
            <w:tab/>
          </w:r>
          <w:r>
            <w:fldChar w:fldCharType="begin"/>
          </w:r>
          <w:r>
            <w:instrText xml:space="preserve"> PAGEREF _Toc12879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_Toc20304 </w:instrText>
          </w:r>
          <w:r>
            <w:rPr>
              <w:rFonts w:ascii="宋体" w:eastAsia="宋体" w:hAnsi="宋体" w:cs="宋体" w:hint="eastAsia"/>
              <w:szCs w:val="24"/>
            </w:rPr>
            <w:fldChar w:fldCharType="separate"/>
          </w:r>
          <w:r>
            <w:rPr>
              <w:rFonts w:hint="default"/>
              <w:lang w:val="en-US" w:eastAsia="zh-CN"/>
            </w:rPr>
            <w:t xml:space="preserve">3.3.3. </w:t>
          </w:r>
          <w:r>
            <w:rPr>
              <w:rFonts w:hint="eastAsia"/>
              <w:lang w:val="en-US" w:eastAsia="zh-CN"/>
            </w:rPr>
            <w:t>研发团队构成</w:t>
          </w:r>
          <w:r>
            <w:tab/>
          </w:r>
          <w:r>
            <w:fldChar w:fldCharType="begin"/>
          </w:r>
          <w:r>
            <w:instrText xml:space="preserve"> PAGEREF _Toc20304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_Toc12116 </w:instrText>
          </w:r>
          <w:r>
            <w:rPr>
              <w:rFonts w:ascii="宋体" w:eastAsia="宋体" w:hAnsi="宋体" w:cs="宋体" w:hint="eastAsia"/>
              <w:szCs w:val="24"/>
            </w:rPr>
            <w:fldChar w:fldCharType="separate"/>
          </w:r>
          <w:r>
            <w:rPr>
              <w:rFonts w:hint="default"/>
              <w:lang w:val="en-US" w:eastAsia="zh-CN"/>
            </w:rPr>
            <w:t xml:space="preserve">3.3.4. </w:t>
          </w:r>
          <w:r>
            <w:rPr>
              <w:rFonts w:hint="eastAsia"/>
              <w:lang w:val="en-US" w:eastAsia="zh-CN"/>
            </w:rPr>
            <w:t>运维经费投入</w:t>
          </w:r>
          <w:r>
            <w:tab/>
          </w:r>
          <w:r>
            <w:fldChar w:fldCharType="begin"/>
          </w:r>
          <w:r>
            <w:instrText xml:space="preserve"> PAGEREF _Toc12116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_Toc20643 </w:instrText>
          </w:r>
          <w:r>
            <w:rPr>
              <w:rFonts w:ascii="宋体" w:eastAsia="宋体" w:hAnsi="宋体" w:cs="宋体" w:hint="eastAsia"/>
              <w:szCs w:val="24"/>
            </w:rPr>
            <w:fldChar w:fldCharType="separate"/>
          </w:r>
          <w:r>
            <w:rPr>
              <w:rFonts w:hint="default"/>
              <w:lang w:val="en-US" w:eastAsia="zh-CN"/>
            </w:rPr>
            <w:t xml:space="preserve">3.3.5. </w:t>
          </w:r>
          <w:r>
            <w:rPr>
              <w:rFonts w:hint="eastAsia"/>
              <w:lang w:val="en-US" w:eastAsia="zh-CN"/>
            </w:rPr>
            <w:t>新技术研发</w:t>
          </w:r>
          <w:r>
            <w:tab/>
          </w:r>
          <w:r>
            <w:fldChar w:fldCharType="begin"/>
          </w:r>
          <w:r>
            <w:instrText xml:space="preserve"> PAGEREF _Toc20643 \h </w:instrText>
          </w:r>
          <w:r>
            <w:fldChar w:fldCharType="separate"/>
          </w:r>
          <w:r>
            <w:t>15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_Toc13650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过程管理计划</w:t>
          </w:r>
          <w:r>
            <w:tab/>
          </w:r>
          <w:r>
            <w:fldChar w:fldCharType="begin"/>
          </w:r>
          <w:r>
            <w:instrText xml:space="preserve"> PAGEREF _Toc13650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_Toc18269 </w:instrText>
          </w:r>
          <w:r>
            <w:rPr>
              <w:rFonts w:ascii="宋体" w:eastAsia="宋体" w:hAnsi="宋体" w:cs="宋体" w:hint="eastAsia"/>
              <w:szCs w:val="24"/>
            </w:rPr>
            <w:fldChar w:fldCharType="separate"/>
          </w:r>
          <w:r>
            <w:rPr>
              <w:rFonts w:hint="default"/>
              <w:lang w:val="en-US" w:eastAsia="zh-CN"/>
            </w:rPr>
            <w:t xml:space="preserve">3.4.1. </w:t>
          </w:r>
          <w:r>
            <w:rPr>
              <w:rFonts w:hint="eastAsia"/>
              <w:lang w:val="en-US" w:eastAsia="zh-CN"/>
            </w:rPr>
            <w:t>过程框架管理计划</w:t>
          </w:r>
          <w:r>
            <w:tab/>
          </w:r>
          <w:r>
            <w:fldChar w:fldCharType="begin"/>
          </w:r>
          <w:r>
            <w:instrText xml:space="preserve"> PAGEREF _Toc18269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_Toc17192 </w:instrText>
          </w:r>
          <w:r>
            <w:rPr>
              <w:rFonts w:ascii="宋体" w:eastAsia="宋体" w:hAnsi="宋体" w:cs="宋体" w:hint="eastAsia"/>
              <w:szCs w:val="24"/>
            </w:rPr>
            <w:fldChar w:fldCharType="separate"/>
          </w:r>
          <w:r>
            <w:rPr>
              <w:rFonts w:hint="default"/>
              <w:lang w:val="en-US" w:eastAsia="zh-CN"/>
            </w:rPr>
            <w:t xml:space="preserve">3.4.2. </w:t>
          </w:r>
          <w:r>
            <w:rPr>
              <w:rFonts w:hint="eastAsia"/>
              <w:lang w:val="en-US" w:eastAsia="zh-CN"/>
            </w:rPr>
            <w:t>服务级别管理计划</w:t>
          </w:r>
          <w:r>
            <w:tab/>
          </w:r>
          <w:r>
            <w:fldChar w:fldCharType="begin"/>
          </w:r>
          <w:r>
            <w:instrText xml:space="preserve"> PAGEREF _Toc17192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_Toc9076 </w:instrText>
          </w:r>
          <w:r>
            <w:rPr>
              <w:rFonts w:ascii="宋体" w:eastAsia="宋体" w:hAnsi="宋体" w:cs="宋体" w:hint="eastAsia"/>
              <w:szCs w:val="24"/>
            </w:rPr>
            <w:fldChar w:fldCharType="separate"/>
          </w:r>
          <w:r>
            <w:rPr>
              <w:rFonts w:hint="default"/>
              <w:lang w:val="en-US" w:eastAsia="zh-CN"/>
            </w:rPr>
            <w:t xml:space="preserve">3.4.3. </w:t>
          </w:r>
          <w:r>
            <w:rPr>
              <w:rFonts w:hint="eastAsia"/>
              <w:lang w:val="en-US" w:eastAsia="zh-CN"/>
            </w:rPr>
            <w:t>服务报告管理计划</w:t>
          </w:r>
          <w:r>
            <w:tab/>
          </w:r>
          <w:r>
            <w:fldChar w:fldCharType="begin"/>
          </w:r>
          <w:r>
            <w:instrText xml:space="preserve"> PAGEREF _Toc9076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_Toc2871 </w:instrText>
          </w:r>
          <w:r>
            <w:rPr>
              <w:rFonts w:ascii="宋体" w:eastAsia="宋体" w:hAnsi="宋体" w:cs="宋体" w:hint="eastAsia"/>
              <w:szCs w:val="24"/>
            </w:rPr>
            <w:fldChar w:fldCharType="separate"/>
          </w:r>
          <w:r>
            <w:rPr>
              <w:rFonts w:hint="default"/>
              <w:lang w:val="en-US" w:eastAsia="zh-CN"/>
            </w:rPr>
            <w:t xml:space="preserve">3.4.4. </w:t>
          </w:r>
          <w:r>
            <w:rPr>
              <w:rFonts w:hint="eastAsia"/>
              <w:lang w:val="en-US" w:eastAsia="zh-CN"/>
            </w:rPr>
            <w:t>事件管理计划</w:t>
          </w:r>
          <w:r>
            <w:tab/>
          </w:r>
          <w:r>
            <w:fldChar w:fldCharType="begin"/>
          </w:r>
          <w:r>
            <w:instrText xml:space="preserve"> PAGEREF _Toc2871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_Toc28390 </w:instrText>
          </w:r>
          <w:r>
            <w:rPr>
              <w:rFonts w:ascii="宋体" w:eastAsia="宋体" w:hAnsi="宋体" w:cs="宋体" w:hint="eastAsia"/>
              <w:szCs w:val="24"/>
            </w:rPr>
            <w:fldChar w:fldCharType="separate"/>
          </w:r>
          <w:r>
            <w:rPr>
              <w:rFonts w:hint="default"/>
              <w:lang w:val="en-US" w:eastAsia="zh-CN"/>
            </w:rPr>
            <w:t xml:space="preserve">3.4.5. </w:t>
          </w:r>
          <w:r>
            <w:rPr>
              <w:rFonts w:hint="eastAsia"/>
              <w:lang w:val="en-US" w:eastAsia="zh-CN"/>
            </w:rPr>
            <w:t>问题管理计划</w:t>
          </w:r>
          <w:r>
            <w:tab/>
          </w:r>
          <w:r>
            <w:fldChar w:fldCharType="begin"/>
          </w:r>
          <w:r>
            <w:instrText xml:space="preserve"> PAGEREF _Toc28390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_Toc5156 </w:instrText>
          </w:r>
          <w:r>
            <w:rPr>
              <w:rFonts w:ascii="宋体" w:eastAsia="宋体" w:hAnsi="宋体" w:cs="宋体" w:hint="eastAsia"/>
              <w:szCs w:val="24"/>
            </w:rPr>
            <w:fldChar w:fldCharType="separate"/>
          </w:r>
          <w:r>
            <w:rPr>
              <w:rFonts w:hint="default"/>
              <w:lang w:val="en-US" w:eastAsia="zh-CN"/>
            </w:rPr>
            <w:t xml:space="preserve">3.4.6. </w:t>
          </w:r>
          <w:r>
            <w:rPr>
              <w:rFonts w:hint="eastAsia"/>
              <w:lang w:val="en-US" w:eastAsia="zh-CN"/>
            </w:rPr>
            <w:t>变更管理计划</w:t>
          </w:r>
          <w:r>
            <w:tab/>
          </w:r>
          <w:r>
            <w:fldChar w:fldCharType="begin"/>
          </w:r>
          <w:r>
            <w:instrText xml:space="preserve"> PAGEREF _Toc5156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_Toc4086 </w:instrText>
          </w:r>
          <w:r>
            <w:rPr>
              <w:rFonts w:ascii="宋体" w:eastAsia="宋体" w:hAnsi="宋体" w:cs="宋体" w:hint="eastAsia"/>
              <w:szCs w:val="24"/>
            </w:rPr>
            <w:fldChar w:fldCharType="separate"/>
          </w:r>
          <w:r>
            <w:rPr>
              <w:rFonts w:hint="default"/>
              <w:lang w:val="en-US" w:eastAsia="zh-CN"/>
            </w:rPr>
            <w:t xml:space="preserve">3.4.7. </w:t>
          </w:r>
          <w:r>
            <w:rPr>
              <w:rFonts w:hint="eastAsia"/>
              <w:lang w:val="en-US" w:eastAsia="zh-CN"/>
            </w:rPr>
            <w:t>发布管理计划</w:t>
          </w:r>
          <w:r>
            <w:tab/>
          </w:r>
          <w:r>
            <w:fldChar w:fldCharType="begin"/>
          </w:r>
          <w:r>
            <w:instrText xml:space="preserve"> PAGEREF _Toc4086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_Toc1167 </w:instrText>
          </w:r>
          <w:r>
            <w:rPr>
              <w:rFonts w:ascii="宋体" w:eastAsia="宋体" w:hAnsi="宋体" w:cs="宋体" w:hint="eastAsia"/>
              <w:szCs w:val="24"/>
            </w:rPr>
            <w:fldChar w:fldCharType="separate"/>
          </w:r>
          <w:r>
            <w:rPr>
              <w:rFonts w:hint="default"/>
              <w:lang w:val="en-US" w:eastAsia="zh-CN"/>
            </w:rPr>
            <w:t xml:space="preserve">3.4.8. </w:t>
          </w:r>
          <w:r>
            <w:rPr>
              <w:rFonts w:hint="eastAsia"/>
              <w:lang w:val="en-US" w:eastAsia="zh-CN"/>
            </w:rPr>
            <w:t>配置管理计划</w:t>
          </w:r>
          <w:r>
            <w:tab/>
          </w:r>
          <w:r>
            <w:fldChar w:fldCharType="begin"/>
          </w:r>
          <w:r>
            <w:instrText xml:space="preserve"> PAGEREF _Toc1167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_Toc11909 </w:instrText>
          </w:r>
          <w:r>
            <w:rPr>
              <w:rFonts w:ascii="宋体" w:eastAsia="宋体" w:hAnsi="宋体" w:cs="宋体" w:hint="eastAsia"/>
              <w:szCs w:val="24"/>
            </w:rPr>
            <w:fldChar w:fldCharType="separate"/>
          </w:r>
          <w:r>
            <w:rPr>
              <w:rFonts w:hint="default"/>
              <w:lang w:val="en-US" w:eastAsia="zh-CN"/>
            </w:rPr>
            <w:t xml:space="preserve">3.4.9. </w:t>
          </w:r>
          <w:r>
            <w:rPr>
              <w:rFonts w:hint="eastAsia"/>
              <w:lang w:val="en-US" w:eastAsia="zh-CN"/>
            </w:rPr>
            <w:t>服务可用性和连续性管理计划</w:t>
          </w:r>
          <w:r>
            <w:tab/>
          </w:r>
          <w:r>
            <w:fldChar w:fldCharType="begin"/>
          </w:r>
          <w:r>
            <w:instrText xml:space="preserve"> PAGEREF _Toc11909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_Toc6541 </w:instrText>
          </w:r>
          <w:r>
            <w:rPr>
              <w:rFonts w:ascii="宋体" w:eastAsia="宋体" w:hAnsi="宋体" w:cs="宋体" w:hint="eastAsia"/>
              <w:szCs w:val="24"/>
            </w:rPr>
            <w:fldChar w:fldCharType="separate"/>
          </w:r>
          <w:r>
            <w:rPr>
              <w:rFonts w:hint="default"/>
              <w:lang w:val="en-US" w:eastAsia="zh-CN"/>
            </w:rPr>
            <w:t xml:space="preserve">3.4.10. </w:t>
          </w:r>
          <w:r>
            <w:rPr>
              <w:rFonts w:hint="eastAsia"/>
              <w:lang w:val="en-US" w:eastAsia="zh-CN"/>
            </w:rPr>
            <w:t>容量管理计划</w:t>
          </w:r>
          <w:r>
            <w:tab/>
          </w:r>
          <w:r>
            <w:fldChar w:fldCharType="begin"/>
          </w:r>
          <w:r>
            <w:instrText xml:space="preserve"> PAGEREF _Toc6541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_Toc23849 </w:instrText>
          </w:r>
          <w:r>
            <w:rPr>
              <w:rFonts w:ascii="宋体" w:eastAsia="宋体" w:hAnsi="宋体" w:cs="宋体" w:hint="eastAsia"/>
              <w:szCs w:val="24"/>
            </w:rPr>
            <w:fldChar w:fldCharType="separate"/>
          </w:r>
          <w:r>
            <w:rPr>
              <w:rFonts w:hint="default"/>
              <w:lang w:val="en-US" w:eastAsia="zh-CN"/>
            </w:rPr>
            <w:t xml:space="preserve">3.4.11. </w:t>
          </w:r>
          <w:r>
            <w:rPr>
              <w:rFonts w:hint="eastAsia"/>
              <w:lang w:val="en-US" w:eastAsia="zh-CN"/>
            </w:rPr>
            <w:t>信息安全管理计划</w:t>
          </w:r>
          <w:r>
            <w:tab/>
          </w:r>
          <w:r>
            <w:fldChar w:fldCharType="begin"/>
          </w:r>
          <w:r>
            <w:instrText xml:space="preserve"> PAGEREF _Toc23849 \h </w:instrText>
          </w:r>
          <w:r>
            <w:fldChar w:fldCharType="separate"/>
          </w:r>
          <w:r>
            <w:t>17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_Toc1513 </w:instrText>
          </w:r>
          <w:r>
            <w:rPr>
              <w:rFonts w:ascii="宋体" w:eastAsia="宋体" w:hAnsi="宋体" w:cs="宋体" w:hint="eastAsia"/>
              <w:szCs w:val="24"/>
            </w:rPr>
            <w:fldChar w:fldCharType="separate"/>
          </w:r>
          <w:r>
            <w:rPr>
              <w:rFonts w:hint="default"/>
              <w:lang w:val="en-US" w:eastAsia="zh-CN"/>
            </w:rPr>
            <w:t xml:space="preserve">3.5. </w:t>
          </w:r>
          <w:r>
            <w:rPr>
              <w:rFonts w:hint="eastAsia"/>
              <w:lang w:val="en-US" w:eastAsia="zh-CN"/>
            </w:rPr>
            <w:t>交付管理计划</w:t>
          </w:r>
          <w:r>
            <w:tab/>
          </w:r>
          <w:r>
            <w:fldChar w:fldCharType="begin"/>
          </w:r>
          <w:r>
            <w:instrText xml:space="preserve"> PAGEREF _Toc1513 \h </w:instrText>
          </w:r>
          <w:r>
            <w:fldChar w:fldCharType="separate"/>
          </w:r>
          <w:r>
            <w:t>17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_Toc27619 </w:instrText>
          </w:r>
          <w:r>
            <w:rPr>
              <w:rFonts w:ascii="宋体" w:eastAsia="宋体" w:hAnsi="宋体" w:cs="宋体" w:hint="eastAsia"/>
              <w:szCs w:val="24"/>
            </w:rPr>
            <w:fldChar w:fldCharType="separate"/>
          </w:r>
          <w:r>
            <w:rPr>
              <w:rFonts w:hint="default"/>
              <w:lang w:val="en-US" w:eastAsia="zh-CN"/>
            </w:rPr>
            <w:t xml:space="preserve">3.6. </w:t>
          </w:r>
          <w:r>
            <w:rPr>
              <w:rFonts w:hint="eastAsia"/>
              <w:lang w:val="en-US" w:eastAsia="zh-CN"/>
            </w:rPr>
            <w:t>应急管理计划</w:t>
          </w:r>
          <w:r>
            <w:tab/>
          </w:r>
          <w:r>
            <w:fldChar w:fldCharType="begin"/>
          </w:r>
          <w:r>
            <w:instrText xml:space="preserve"> PAGEREF _Toc27619 \h </w:instrText>
          </w:r>
          <w:r>
            <w:fldChar w:fldCharType="separate"/>
          </w:r>
          <w:r>
            <w:t>17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_Toc10357 </w:instrText>
          </w:r>
          <w:r>
            <w:rPr>
              <w:rFonts w:ascii="宋体" w:eastAsia="宋体" w:hAnsi="宋体" w:cs="宋体" w:hint="eastAsia"/>
              <w:szCs w:val="24"/>
            </w:rPr>
            <w:fldChar w:fldCharType="separate"/>
          </w:r>
          <w:r>
            <w:rPr>
              <w:rFonts w:hint="default"/>
              <w:lang w:val="en-US" w:eastAsia="zh-CN"/>
            </w:rPr>
            <w:t xml:space="preserve">3.7. </w:t>
          </w:r>
          <w:r>
            <w:rPr>
              <w:rFonts w:hint="eastAsia"/>
              <w:lang w:val="en-US" w:eastAsia="zh-CN"/>
            </w:rPr>
            <w:t>质量管理计划</w:t>
          </w:r>
          <w:r>
            <w:tab/>
          </w:r>
          <w:r>
            <w:fldChar w:fldCharType="begin"/>
          </w:r>
          <w:r>
            <w:instrText xml:space="preserve"> PAGEREF _Toc10357 \h </w:instrText>
          </w:r>
          <w:r>
            <w:fldChar w:fldCharType="separate"/>
          </w:r>
          <w:r>
            <w:t>17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_Toc14762 </w:instrText>
          </w:r>
          <w:r>
            <w:rPr>
              <w:rFonts w:ascii="宋体" w:eastAsia="宋体" w:hAnsi="宋体" w:cs="宋体" w:hint="eastAsia"/>
              <w:szCs w:val="24"/>
            </w:rPr>
            <w:fldChar w:fldCharType="separate"/>
          </w:r>
          <w:r>
            <w:rPr>
              <w:rFonts w:hint="default"/>
              <w:lang w:val="en-US" w:eastAsia="zh-CN"/>
            </w:rPr>
            <w:t xml:space="preserve">3.7.1. </w:t>
          </w:r>
          <w:r>
            <w:rPr>
              <w:rFonts w:hint="eastAsia"/>
              <w:lang w:val="en-US" w:eastAsia="zh-CN"/>
            </w:rPr>
            <w:t>内审</w:t>
          </w:r>
          <w:r>
            <w:tab/>
          </w:r>
          <w:r>
            <w:fldChar w:fldCharType="begin"/>
          </w:r>
          <w:r>
            <w:instrText xml:space="preserve"> PAGEREF _Toc14762 \h </w:instrText>
          </w:r>
          <w:r>
            <w:fldChar w:fldCharType="separate"/>
          </w:r>
          <w:r>
            <w:t>18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_Toc14845 </w:instrText>
          </w:r>
          <w:r>
            <w:rPr>
              <w:rFonts w:ascii="宋体" w:eastAsia="宋体" w:hAnsi="宋体" w:cs="宋体" w:hint="eastAsia"/>
              <w:szCs w:val="24"/>
            </w:rPr>
            <w:fldChar w:fldCharType="separate"/>
          </w:r>
          <w:r>
            <w:rPr>
              <w:rFonts w:hint="default"/>
              <w:lang w:val="en-US" w:eastAsia="zh-CN"/>
            </w:rPr>
            <w:t xml:space="preserve">3.7.2. </w:t>
          </w:r>
          <w:r>
            <w:rPr>
              <w:rFonts w:hint="eastAsia"/>
              <w:lang w:val="en-US" w:eastAsia="zh-CN"/>
            </w:rPr>
            <w:t>管评</w:t>
          </w:r>
          <w:r>
            <w:tab/>
          </w:r>
          <w:r>
            <w:fldChar w:fldCharType="begin"/>
          </w:r>
          <w:r>
            <w:instrText xml:space="preserve"> PAGEREF _Toc14845 \h </w:instrText>
          </w:r>
          <w:r>
            <w:fldChar w:fldCharType="separate"/>
          </w:r>
          <w:r>
            <w:t>18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_Toc17185 </w:instrText>
          </w:r>
          <w:r>
            <w:rPr>
              <w:rFonts w:ascii="宋体" w:eastAsia="宋体" w:hAnsi="宋体" w:cs="宋体" w:hint="eastAsia"/>
              <w:szCs w:val="24"/>
            </w:rPr>
            <w:fldChar w:fldCharType="separate"/>
          </w:r>
          <w:r>
            <w:rPr>
              <w:rFonts w:hint="default"/>
              <w:lang w:val="en-US" w:eastAsia="zh-CN"/>
            </w:rPr>
            <w:t xml:space="preserve">3.7.3. </w:t>
          </w:r>
          <w:r>
            <w:rPr>
              <w:rFonts w:hint="eastAsia"/>
              <w:lang w:val="en-US" w:eastAsia="zh-CN"/>
            </w:rPr>
            <w:t>客户满意度</w:t>
          </w:r>
          <w:r>
            <w:tab/>
          </w:r>
          <w:r>
            <w:fldChar w:fldCharType="begin"/>
          </w:r>
          <w:r>
            <w:instrText xml:space="preserve"> PAGEREF _Toc17185 \h </w:instrText>
          </w:r>
          <w:r>
            <w:fldChar w:fldCharType="separate"/>
          </w:r>
          <w:r>
            <w:t>18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_Toc22413 </w:instrText>
          </w:r>
          <w:r>
            <w:rPr>
              <w:rFonts w:ascii="宋体" w:eastAsia="宋体" w:hAnsi="宋体" w:cs="宋体" w:hint="eastAsia"/>
              <w:szCs w:val="24"/>
            </w:rPr>
            <w:fldChar w:fldCharType="separate"/>
          </w:r>
          <w:r>
            <w:rPr>
              <w:rFonts w:hint="default"/>
              <w:lang w:val="en-US" w:eastAsia="zh-CN"/>
            </w:rPr>
            <w:t xml:space="preserve">3.7.4. </w:t>
          </w:r>
          <w:r>
            <w:rPr>
              <w:rFonts w:hint="eastAsia"/>
              <w:lang w:val="en-US" w:eastAsia="zh-CN"/>
            </w:rPr>
            <w:t>客户投诉</w:t>
          </w:r>
          <w:r>
            <w:tab/>
          </w:r>
          <w:r>
            <w:fldChar w:fldCharType="begin"/>
          </w:r>
          <w:r>
            <w:instrText xml:space="preserve"> PAGEREF _Toc22413 \h </w:instrText>
          </w:r>
          <w:r>
            <w:fldChar w:fldCharType="separate"/>
          </w:r>
          <w:r>
            <w:t>18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9312"/>
      <w:r>
        <w:rPr>
          <w:rFonts w:hint="eastAsia"/>
          <w:lang w:val="en-US" w:eastAsia="zh-CN"/>
        </w:rPr>
        <w:t>背景概况</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30051"/>
      <w:r>
        <w:rPr>
          <w:rFonts w:hint="eastAsia"/>
          <w:lang w:val="en-US" w:eastAsia="zh-CN"/>
        </w:rPr>
        <w:t>公司沿革与核心优势</w:t>
      </w:r>
      <w:bookmarkEnd w:id="4"/>
    </w:p>
    <w:p>
      <w:pPr>
        <w:pStyle w:val="a1"/>
        <w:rPr>
          <w:rFonts w:hint="eastAsia"/>
          <w:lang w:val="en-US" w:eastAsia="zh-CN"/>
        </w:rPr>
      </w:pPr>
      <w:r>
        <w:rPr>
          <w:rFonts w:hint="eastAsia"/>
          <w:lang w:val="en-US" w:eastAsia="zh-CN"/>
        </w:rPr>
        <w:t>重庆市鹧鸪哨信息技术有限责任公司是经国资委批准成立的国有企业（市数投公司）全资子公司，成立于2021年6月16日，注册资金2000万元。公司设有人力部、研发部、质量部、采购部、运维部五个部门，现有员工20人，其中运维相关人员15人，在新余市信息化公司中技术能力位于前列。</w:t>
      </w:r>
    </w:p>
    <w:p>
      <w:pPr>
        <w:pStyle w:val="a1"/>
        <w:rPr>
          <w:rFonts w:hint="eastAsia"/>
          <w:lang w:val="en-US" w:eastAsia="zh-CN"/>
        </w:rPr>
      </w:pPr>
      <w:r>
        <w:rPr>
          <w:rFonts w:hint="eastAsia"/>
          <w:lang w:val="en-US" w:eastAsia="zh-CN"/>
        </w:rPr>
        <w:t>公司是国家高新技术企业、省专精特新企业、省大数据示范企业、省级双软企业、潜在瞪羚企业、江西省数据资源型企业，拥有市级研发平台，取得数据核保平台、数据治理平台等53项软著证书及3项专利证书。</w:t>
      </w:r>
    </w:p>
    <w:p>
      <w:pPr>
        <w:pStyle w:val="a1"/>
        <w:rPr>
          <w:rFonts w:hint="eastAsia"/>
          <w:lang w:val="en-US" w:eastAsia="zh-CN"/>
        </w:rPr>
      </w:pPr>
      <w:r>
        <w:rPr>
          <w:rFonts w:hint="eastAsia"/>
          <w:lang w:val="en-US" w:eastAsia="zh-CN"/>
        </w:rPr>
        <w:t>公司按照市委市政府要求，助力“数字强市”建设，围绕数字政府、数字经济、数字社会领域，聚焦市场型、技术型、服务型国企，主要从事产品研发、技术开发、项目实施、系统集成、系统运维及数据运营等工作，以大数据领域为核心，面向全市提供数据服务、技术服务、运维服务、运营服务。</w:t>
      </w:r>
    </w:p>
    <w:p>
      <w:pPr>
        <w:pStyle w:val="a1"/>
        <w:rPr>
          <w:rFonts w:hint="eastAsia"/>
          <w:lang w:val="en-US" w:eastAsia="zh-CN"/>
        </w:rPr>
      </w:pPr>
      <w:r>
        <w:rPr>
          <w:rFonts w:hint="eastAsia"/>
          <w:lang w:val="en-US" w:eastAsia="zh-CN"/>
        </w:rPr>
        <w:t>在医疗健康领域，公司依托政务大数据平台，重点打造“政务大数据+医疗健康”服务体系。通过数据治理平台整合医疗数据资源，自主研发了数据核保平台，应用于商业保险核保场景，提升核保效率与风控能力。公司积极探索医疗数据在健康管理、智慧医疗、医保服务等场景的应用，推动医疗数据的合规流通与价值释放，助力区域医疗健康数字化转型。公司承担新余市城市大脑、政务云、12345热线平台的运营运维工作，为医疗健康信息化项目提供坚实的技术支撑。</w:t>
      </w:r>
    </w:p>
    <w:p>
      <w:pPr>
        <w:pStyle w:val="a1"/>
        <w:rPr>
          <w:rFonts w:hint="eastAsia"/>
          <w:lang w:val="en-US" w:eastAsia="zh-CN"/>
        </w:rPr>
      </w:pPr>
      <w:r>
        <w:rPr>
          <w:rFonts w:hint="eastAsia"/>
          <w:lang w:val="en-US" w:eastAsia="zh-CN"/>
        </w:rPr>
        <w:t>公司秉承“硬核技术才是出路”的核心文化，持续在大数据、人工智能、系统运维等领域深耕，致力于成为区域领先的医疗健康大数据服务商。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7907"/>
      <w:r>
        <w:rPr>
          <w:rFonts w:hint="eastAsia"/>
          <w:lang w:val="en-US" w:eastAsia="zh-CN"/>
        </w:rPr>
        <w:t>引入ITSS的必要性</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为保障公司进一步发展并提高服务质量，统一服务语言，规范服务行为，建立持续改进机制，我们决定引入并实施ITSS（信息技术服务标准）体系。通过ITSS认证，尤其是获得三级证书，将有助于我们：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建立核心竞争力：系统化构建运维服务能力管理体系，在市场竞争中树立专业形象。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提升服务质量：确保服务交付的标准化、规范化，达成并超越客户约定的服务级别协议。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实现持续改进：形成计划、实施、检查、改进的良性循环，驱动服务能力不断成熟。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31245"/>
      <w:bookmarkStart w:id="7" w:name="_Toc27404"/>
      <w:r>
        <w:rPr>
          <w:rFonts w:hint="eastAsia"/>
          <w:lang w:val="en-US" w:eastAsia="zh-CN"/>
        </w:rPr>
        <w:t>人力资源配置</w:t>
      </w:r>
      <w:bookmarkEnd w:id="6"/>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当前运维团队共有人员15人，初步构建了涵盖一线服务、技术支撑及管理协调的团队雏形，能够满足现阶段业务运营的基本要求。然而，随着公司运维业务范围的拓展与服务深度的增加，现有人员在数量与技术能力上面临挑战。为支撑公司运维服务能力的持续提升与业务规模的扩张，并确保通过ITSS三级认证，公司已制定清晰的人力资源发展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预计在一年内，通过定向招聘6名专业技术人才，将运维团队总规模扩充至</w:t>
      </w:r>
      <w:r>
        <w:rPr>
          <w:rFonts w:hint="eastAsia"/>
          <w:lang w:val="en-US" w:eastAsia="zh-CN"/>
        </w:rPr>
        <w:t>21</w:t>
      </w:r>
      <w:r>
        <w:rPr>
          <w:rFonts w:hint="default"/>
          <w:lang w:val="en-US" w:eastAsia="zh-CN"/>
        </w:rPr>
        <w:t>人。公司将显著增强现场服务响应能力与核心技术攻关能力，并确保关键岗位储备率达到</w:t>
      </w:r>
      <w:r>
        <w:rPr>
          <w:rFonts w:hint="eastAsia"/>
          <w:lang w:val="en-US" w:eastAsia="zh-CN"/>
        </w:rPr>
        <w:t>95</w:t>
      </w:r>
      <w:r>
        <w:rPr>
          <w:rFonts w:hint="default"/>
          <w:lang w:val="en-US" w:eastAsia="zh-CN"/>
        </w:rPr>
        <w:t>%，从而构建起一支能够有力支撑当前及未来运维业务发展的高质量人才队伍。</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4467"/>
      <w:r>
        <w:rPr>
          <w:rFonts w:hint="eastAsia"/>
          <w:lang w:val="en-US" w:eastAsia="zh-CN"/>
        </w:rPr>
        <w:t>运维保障提升</w:t>
      </w:r>
      <w:bookmarkEnd w:id="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8547"/>
      <w:r>
        <w:rPr>
          <w:rFonts w:hint="eastAsia"/>
          <w:lang w:val="en-US" w:eastAsia="zh-CN"/>
        </w:rPr>
        <w:t>服务台能力强化</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已建立统一服务台，确保客户的所有服务请求均能获得及时、规范的响应与处理，显著提升了服务体验。后续，运维部将牵头负责服务台的技术能力建设，重点提升在线直接解决率，减少工单转派，以更高效的方式支撑一线业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7695"/>
      <w:r>
        <w:rPr>
          <w:rFonts w:hint="eastAsia"/>
          <w:lang w:val="en-US" w:eastAsia="zh-CN"/>
        </w:rPr>
        <w:t>运维工具整合与研发</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工具方面，禅道管理工具已得到全面应用，运维部相关人员均已熟练使用，实现了高效的协同工作与便利的业务数据搜集分析。未来，研发部将继续负责过程管理工具的功能升级与迭代，并在年度研发计划中纳入从运维部收集的使用反馈。DASUSM平台在运维安全与审计方面已实现全面部署与应用，运维部及相关安全审计人员均已熟练掌握其身份管理、操作审计、风险预警等核心功能，实现了运维过程的全流程安全管控与操作可追溯。未来，运维部将协同信息安全团队，持续收集使用反馈，并在年度安全运维规划中推动该平台的功能优化与策略迭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阿里云飞天企业版作为核心云资源监控与管理平台，已在多个云架构项目中得到深入应用，运维团队能够熟练运用其对云服务器、数据库、负载均衡等资源的实时监控与性能分析功能，实现了云资源的精细化运营与故障快速定位。未来，运维部将持续结合业务需求与资源使用情况，推动该平台监控策略的智能化和自动化升级，并纳入年度运维体系优化计划。</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4145"/>
      <w:r>
        <w:rPr>
          <w:rFonts w:hint="eastAsia"/>
          <w:lang w:val="en-US" w:eastAsia="zh-CN"/>
        </w:rPr>
        <w:t>备品备件标准化与可用性管理</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能向客户提供及时的备件支持，公司已对备件管理实现内部标准化管理。采购部与运维部将协同工作，确保所采购的备件能够被快速、准确地配发给一线服务人员。采购部将重点实施关键备件可用性管理，通过定期检验与状态监控，保证库存备件的有效性，满足服务级别协议（SLA）中的备件支持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6372"/>
      <w:r>
        <w:rPr>
          <w:rFonts w:hint="eastAsia"/>
          <w:lang w:val="en-US" w:eastAsia="zh-CN"/>
        </w:rPr>
        <w:t>服务知识管理与知识固化</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服务质量的稳定达成，并基于公司档案存储业务的需要，运维部将联合研发部，对现有的《服务知识管理制度》进行优化与总结，将其系统性地沉淀至公司服务知识。质量部将负责监督该方法论的落地效果。同时，人力部将协助开展专项培训并引进专业人才，通过人员、过程、技术的结合，确保数据中心运维管理服务项目的交付质量。</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626"/>
      <w:r>
        <w:rPr>
          <w:rFonts w:hint="eastAsia"/>
          <w:lang w:val="en-US" w:eastAsia="zh-CN"/>
        </w:rPr>
        <w:t>最终软件库建设</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为保障版本一致性，公司已启动最终软件库建设，采用Gitlab进行统一版本管理，确保软件资产受控、可追溯。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31225"/>
      <w:r>
        <w:rPr>
          <w:rFonts w:hint="eastAsia"/>
          <w:lang w:val="en-US" w:eastAsia="zh-CN"/>
        </w:rPr>
        <w:t>服务数据应用</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衡量服务绩效并驱动改进，公司已明确要求所有服务活动均需在“禅道”工具及相关记录中予以体现。运维部负责确保服务数据的及时性与准确性，质量部将定期对这些数据（如事件解决时长、SLA达成率等）进行分析，生成服务报告，为管理决策和持续改进提供数据支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0806"/>
      <w:r>
        <w:rPr>
          <w:rFonts w:hint="eastAsia"/>
          <w:lang w:val="en-US" w:eastAsia="zh-CN"/>
        </w:rPr>
        <w:t>研发能力建设</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公司研发部将紧密围绕运维业务需求，以</w:t>
      </w:r>
      <w:r>
        <w:rPr>
          <w:rFonts w:hint="eastAsia"/>
          <w:lang w:val="en-US" w:eastAsia="zh-CN"/>
        </w:rPr>
        <w:t>项目</w:t>
      </w:r>
      <w:r>
        <w:rPr>
          <w:rFonts w:hint="default"/>
          <w:lang w:val="en-US" w:eastAsia="zh-CN"/>
        </w:rPr>
        <w:t>为核心，持续进行流程管理工具的定制化开发与功能优化。重点推进与备件管理、知识库等系统的集成，并着手技术储备与解决方案预研，旨在通过技术创新固化服务流程，提升运维效率与自动化水平，为业务发展提供核心驱动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4407"/>
      <w:r>
        <w:rPr>
          <w:rFonts w:hint="eastAsia"/>
          <w:lang w:val="en-US" w:eastAsia="zh-CN"/>
        </w:rPr>
        <w:t>规范业务流程</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标准化、可量化的运维服务体系，公司将系统性地构建并规范核心业务流程。运维部作为归口管理部门，将牵头建立统一的过程管理框架，并依据此框架，会同质量部与研发部，系统制定《过程框架管理制度》《服务级别管理制度》、《服务报告管理制度》《事件管理制度》、《问题管理制度》、《变更管理制度》、《发布管理制度》、《配置管理制度》、《服务可用性和连续性管理制度》、《容量管理制度》及《信息安全管理制度》等一系列制度文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6890"/>
      <w:r>
        <w:rPr>
          <w:rFonts w:hint="eastAsia"/>
          <w:lang w:val="en-US" w:eastAsia="zh-CN"/>
        </w:rPr>
        <w:t>运维发展方向和目标</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0718"/>
      <w:r>
        <w:rPr>
          <w:rFonts w:hint="default"/>
          <w:lang w:val="en-US" w:eastAsia="zh-CN"/>
        </w:rPr>
        <w:t>总体发展方向</w:t>
      </w:r>
      <w:bookmarkEnd w:id="18"/>
    </w:p>
    <w:p>
      <w:pPr>
        <w:pStyle w:val="a1"/>
        <w:rPr>
          <w:rFonts w:hint="default"/>
          <w:lang w:val="en-US" w:eastAsia="zh-CN"/>
        </w:rPr>
      </w:pPr>
      <w:r>
        <w:rPr>
          <w:rFonts w:hint="default"/>
          <w:lang w:val="en-US" w:eastAsia="zh-CN"/>
        </w:rPr>
        <w:t>公司将持续加强运维服务能力建设与技术创新，以ITSS标准为指引，不断优化运维服务体系，提升项目交付与运营服务质量。在巩固现有医疗生物行业系统运维服务的基础上，逐步拓展至生物医药、医疗器械、健康管理等关联领域，深化与客户及生态伙伴的合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8378"/>
      <w:r>
        <w:rPr>
          <w:rFonts w:hint="default"/>
          <w:lang w:val="en-US" w:eastAsia="zh-CN"/>
        </w:rPr>
        <w:t>阶段性发展目标</w:t>
      </w:r>
      <w:bookmarkEnd w:id="1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6490"/>
      <w:r>
        <w:rPr>
          <w:rFonts w:hint="default"/>
          <w:lang w:val="en-US" w:eastAsia="zh-CN"/>
        </w:rPr>
        <w:t>短期目标（未来1年）</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成功通过ITSS三级认证：建立并有效运行符合ITSS标准的运维服务管理体系。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能力建设：完成核心运维团队的能力强化，确保运维、研发、质量等关键岗位人员100%胜任。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流程落地：全面推行事件、问题、变更等关键服务管理流程，关键服务指标（如事件解决率）达到ITSS三级要求。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市场切入：依托现有客户资源，成功拓展</w:t>
      </w:r>
      <w:r>
        <w:rPr>
          <w:rFonts w:hint="eastAsia"/>
          <w:lang w:val="en-US" w:eastAsia="zh-CN"/>
        </w:rPr>
        <w:t>5</w:t>
      </w:r>
      <w:r>
        <w:rPr>
          <w:rFonts w:hint="default"/>
          <w:lang w:val="en-US" w:eastAsia="zh-CN"/>
        </w:rPr>
        <w:t>个新的运维服务客户。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823"/>
      <w:r>
        <w:rPr>
          <w:rFonts w:hint="default"/>
          <w:lang w:val="en-US" w:eastAsia="zh-CN"/>
        </w:rPr>
        <w:t>中长期目标（未来2-3年）</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服务升级：从基础运维向主动预防、性能优化等高附加值服务延伸，初步形成自有知识产权的运维工具或解决方案。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品牌建立：在目标市场内树立“鹧鸪哨智慧运维”的专业品牌形象。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能力升级：争取将运维服务能力成熟度提升至ITSS二级水平。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业务增长：实现运维服务业务收入年均增长</w:t>
      </w:r>
      <w:r>
        <w:rPr>
          <w:rFonts w:hint="eastAsia"/>
          <w:lang w:val="en-US" w:eastAsia="zh-CN"/>
        </w:rPr>
        <w:t>30</w:t>
      </w:r>
      <w:r>
        <w:rPr>
          <w:rFonts w:hint="default"/>
          <w:lang w:val="en-US" w:eastAsia="zh-CN"/>
        </w:rPr>
        <w:t>%，成为公司核心业务支柱。</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231"/>
      <w:r>
        <w:rPr>
          <w:rFonts w:hint="eastAsia"/>
          <w:lang w:val="en-US" w:eastAsia="zh-CN"/>
        </w:rPr>
        <w:t>运维服务能力管理计划</w:t>
      </w:r>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3194"/>
      <w:bookmarkStart w:id="24" w:name="_Toc10440"/>
      <w:r>
        <w:rPr>
          <w:rFonts w:hint="eastAsia"/>
          <w:lang w:val="en-US" w:eastAsia="zh-CN"/>
        </w:rPr>
        <w:t>人员管理计划</w:t>
      </w:r>
      <w:bookmarkEnd w:id="23"/>
      <w:bookmarkEnd w:id="2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8197"/>
      <w:bookmarkStart w:id="26" w:name="_Toc2685"/>
      <w:r>
        <w:rPr>
          <w:rFonts w:hint="eastAsia"/>
          <w:lang w:val="en-US" w:eastAsia="zh-CN"/>
        </w:rPr>
        <w:t>人员招聘管理计划</w:t>
      </w:r>
      <w:bookmarkEnd w:id="25"/>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招聘计划，如表3-1所示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54"/>
        <w:gridCol w:w="1954"/>
        <w:gridCol w:w="1704"/>
        <w:gridCol w:w="1705"/>
        <w:gridCol w:w="170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计划完成时间</w:t>
            </w:r>
          </w:p>
        </w:tc>
      </w:tr>
      <w:tr>
        <w:tblPrEx>
          <w:tblW w:w="0" w:type="auto"/>
          <w:tblInd w:w="0" w:type="dxa"/>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2025年3月</w:t>
            </w:r>
          </w:p>
        </w:tc>
      </w:tr>
      <w:tr>
        <w:tblPrEx>
          <w:tblW w:w="0" w:type="auto"/>
          <w:tblInd w:w="0" w:type="dxa"/>
          <w:tblCellMar>
            <w:top w:w="0" w:type="dxa"/>
            <w:left w:w="108" w:type="dxa"/>
            <w:bottom w:w="0" w:type="dxa"/>
            <w:right w:w="108" w:type="dxa"/>
          </w:tblCellMar>
        </w:tblPrEx>
        <w:tc>
          <w:tcPr>
            <w:tcW w:w="1454"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研发部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2025年4月</w:t>
            </w:r>
          </w:p>
        </w:tc>
      </w:tr>
      <w:tr>
        <w:tblPrEx>
          <w:tblW w:w="0" w:type="auto"/>
          <w:tblInd w:w="0" w:type="dxa"/>
          <w:tblCellMar>
            <w:top w:w="0" w:type="dxa"/>
            <w:left w:w="108" w:type="dxa"/>
            <w:bottom w:w="0" w:type="dxa"/>
            <w:right w:w="108" w:type="dxa"/>
          </w:tblCellMar>
        </w:tblPrEx>
        <w:tc>
          <w:tcPr>
            <w:tcW w:w="1454" w:type="dxa"/>
            <w:vMerge/>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2025年5月</w:t>
            </w:r>
          </w:p>
        </w:tc>
      </w:tr>
      <w:tr>
        <w:tblPrEx>
          <w:tblW w:w="0" w:type="auto"/>
          <w:tblInd w:w="0" w:type="dxa"/>
          <w:tblCellMar>
            <w:top w:w="0" w:type="dxa"/>
            <w:left w:w="108" w:type="dxa"/>
            <w:bottom w:w="0" w:type="dxa"/>
            <w:right w:w="108" w:type="dxa"/>
          </w:tblCellMar>
        </w:tblPrEx>
        <w:tc>
          <w:tcPr>
            <w:tcW w:w="1454"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2025年8月</w:t>
            </w:r>
          </w:p>
        </w:tc>
      </w:tr>
      <w:tr>
        <w:tblPrEx>
          <w:tblW w:w="0" w:type="auto"/>
          <w:tblInd w:w="0" w:type="dxa"/>
          <w:tblCellMar>
            <w:top w:w="0" w:type="dxa"/>
            <w:left w:w="108" w:type="dxa"/>
            <w:bottom w:w="0" w:type="dxa"/>
            <w:right w:w="108" w:type="dxa"/>
          </w:tblCellMar>
        </w:tblPrEx>
        <w:tc>
          <w:tcPr>
            <w:tcW w:w="1454" w:type="dxa"/>
            <w:vMerge/>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质量部</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2025年9月</w:t>
            </w:r>
          </w:p>
        </w:tc>
      </w:tr>
      <w:tr>
        <w:tblPrEx>
          <w:tblW w:w="0" w:type="auto"/>
          <w:tblInd w:w="0" w:type="dxa"/>
          <w:tblCellMar>
            <w:top w:w="0" w:type="dxa"/>
            <w:left w:w="108" w:type="dxa"/>
            <w:bottom w:w="0" w:type="dxa"/>
            <w:right w:w="108" w:type="dxa"/>
          </w:tblCellMar>
        </w:tblPrEx>
        <w:tc>
          <w:tcPr>
            <w:tcW w:w="14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5581"/>
      <w:bookmarkStart w:id="28" w:name="_Toc19391"/>
      <w:r>
        <w:rPr>
          <w:rFonts w:hint="eastAsia"/>
          <w:lang w:val="en-US" w:eastAsia="zh-CN"/>
        </w:rPr>
        <w:t>人员储备管理计划</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公司人员储备计划如表3-2所示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86"/>
        <w:gridCol w:w="1060"/>
        <w:gridCol w:w="1748"/>
        <w:gridCol w:w="3002"/>
        <w:gridCol w:w="132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386"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储备目标岗位</w:t>
            </w:r>
          </w:p>
        </w:tc>
        <w:tc>
          <w:tcPr>
            <w:tcW w:w="106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储备人次</w:t>
            </w:r>
          </w:p>
        </w:tc>
        <w:tc>
          <w:tcPr>
            <w:tcW w:w="174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储备人选来源</w:t>
            </w:r>
          </w:p>
        </w:tc>
        <w:tc>
          <w:tcPr>
            <w:tcW w:w="3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核心培新措施</w:t>
            </w:r>
          </w:p>
        </w:tc>
        <w:tc>
          <w:tcPr>
            <w:tcW w:w="132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计划完成时间</w:t>
            </w:r>
          </w:p>
        </w:tc>
      </w:tr>
      <w:tr>
        <w:tblPrEx>
          <w:tblW w:w="0" w:type="auto"/>
          <w:tblInd w:w="0" w:type="dxa"/>
          <w:tblCellMar>
            <w:top w:w="0" w:type="dxa"/>
            <w:left w:w="108" w:type="dxa"/>
            <w:bottom w:w="0" w:type="dxa"/>
            <w:right w:w="108" w:type="dxa"/>
          </w:tblCellMar>
        </w:tblPrEx>
        <w:trPr>
          <w:trHeight w:val="90"/>
        </w:trPr>
        <w:tc>
          <w:tcPr>
            <w:tcW w:w="1386"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运维部经理</w:t>
            </w:r>
          </w:p>
        </w:tc>
        <w:tc>
          <w:tcPr>
            <w:tcW w:w="106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2人</w:t>
            </w:r>
          </w:p>
        </w:tc>
        <w:tc>
          <w:tcPr>
            <w:tcW w:w="174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现任运维项目经理</w:t>
            </w:r>
          </w:p>
        </w:tc>
        <w:tc>
          <w:tcPr>
            <w:tcW w:w="3002"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导师制： 由外聘导师进行一对一领导力辅导</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轮岗实践： 短期轮岗至研发部、质量部，了解全业务链</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授权历练： 独立负责部门季度规划、预算编制模拟、主持重要客户会议</w:t>
            </w:r>
          </w:p>
        </w:tc>
        <w:tc>
          <w:tcPr>
            <w:tcW w:w="132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2025年8月</w:t>
            </w:r>
          </w:p>
        </w:tc>
      </w:tr>
      <w:tr>
        <w:tblPrEx>
          <w:tblW w:w="0" w:type="auto"/>
          <w:tblInd w:w="0" w:type="dxa"/>
          <w:tblCellMar>
            <w:top w:w="0" w:type="dxa"/>
            <w:left w:w="108" w:type="dxa"/>
            <w:bottom w:w="0" w:type="dxa"/>
            <w:right w:w="108" w:type="dxa"/>
          </w:tblCellMar>
        </w:tblPrEx>
        <w:tc>
          <w:tcPr>
            <w:tcW w:w="1386"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运维项目经理</w:t>
            </w:r>
          </w:p>
        </w:tc>
        <w:tc>
          <w:tcPr>
            <w:tcW w:w="106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74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现任运维工程师</w:t>
            </w:r>
          </w:p>
        </w:tc>
        <w:tc>
          <w:tcPr>
            <w:tcW w:w="3002"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项目实践： 担任小型项目副组长，在指导下全程参与项目管理</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专项培训： 参加PMP认证培训，学习项目管理方法论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参与决策： 列席项目复盘会、售前技术方案讨论会</w:t>
            </w:r>
          </w:p>
        </w:tc>
        <w:tc>
          <w:tcPr>
            <w:tcW w:w="132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9</w:t>
            </w:r>
            <w:r>
              <w:rPr>
                <w:rFonts w:ascii="宋体" w:eastAsia="宋体" w:hAnsi="宋体" w:cs="宋体" w:hint="eastAsia"/>
                <w:sz w:val="16"/>
                <w:szCs w:val="16"/>
                <w:vertAlign w:val="baseline"/>
                <w:lang w:val="en-US" w:eastAsia="zh-CN"/>
              </w:rPr>
              <w:t>月</w:t>
            </w:r>
          </w:p>
        </w:tc>
      </w:tr>
      <w:tr>
        <w:tblPrEx>
          <w:tblW w:w="0" w:type="auto"/>
          <w:tblInd w:w="0" w:type="dxa"/>
          <w:tblCellMar>
            <w:top w:w="0" w:type="dxa"/>
            <w:left w:w="108" w:type="dxa"/>
            <w:bottom w:w="0" w:type="dxa"/>
            <w:right w:w="108" w:type="dxa"/>
          </w:tblCellMar>
        </w:tblPrEx>
        <w:tc>
          <w:tcPr>
            <w:tcW w:w="1386"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研发部经理</w:t>
            </w:r>
          </w:p>
        </w:tc>
        <w:tc>
          <w:tcPr>
            <w:tcW w:w="106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74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现任开发工程师</w:t>
            </w:r>
          </w:p>
        </w:tc>
        <w:tc>
          <w:tcPr>
            <w:tcW w:w="3002"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技术管理： 负责技术选型评审、代码规范制定</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带队任务： 作为技术组长，带领小组完成一个产品模块的开发。</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业务接触： 跟随项目经理参与客户需求调研，理解业务痛点</w:t>
            </w:r>
          </w:p>
        </w:tc>
        <w:tc>
          <w:tcPr>
            <w:tcW w:w="1325"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11</w:t>
            </w:r>
            <w:r>
              <w:rPr>
                <w:rFonts w:ascii="宋体" w:eastAsia="宋体" w:hAnsi="宋体" w:cs="宋体" w:hint="eastAsia"/>
                <w:sz w:val="16"/>
                <w:szCs w:val="16"/>
                <w:vertAlign w:val="baseline"/>
                <w:lang w:val="en-US" w:eastAsia="zh-CN"/>
              </w:rPr>
              <w:t>月</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0776"/>
      <w:bookmarkStart w:id="30" w:name="_Toc4230"/>
      <w:r>
        <w:rPr>
          <w:rFonts w:hint="eastAsia"/>
          <w:lang w:val="en-US" w:eastAsia="zh-CN"/>
        </w:rPr>
        <w:t>人员绩效考核管理计划</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每月对人员进行考核，要求绩效考核合格率达到95%以上。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4653"/>
      <w:bookmarkStart w:id="32" w:name="_Toc5164"/>
      <w:r>
        <w:rPr>
          <w:rFonts w:hint="eastAsia"/>
          <w:lang w:val="en-US" w:eastAsia="zh-CN"/>
        </w:rPr>
        <w:t>人员能力评价管理计划</w:t>
      </w:r>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每季度对人员专业</w:t>
      </w:r>
      <w:r>
        <w:rPr>
          <w:rFonts w:ascii="宋体" w:hAnsi="宋体" w:cs="宋体" w:hint="eastAsia"/>
          <w:spacing w:val="-1"/>
          <w:sz w:val="24"/>
          <w:szCs w:val="24"/>
          <w:lang w:val="en-US" w:eastAsia="zh-CN"/>
        </w:rPr>
        <w:t>能力</w:t>
      </w:r>
      <w:r>
        <w:rPr>
          <w:rFonts w:ascii="宋体" w:eastAsia="宋体" w:hAnsi="宋体" w:cs="宋体" w:hint="eastAsia"/>
          <w:spacing w:val="-1"/>
          <w:sz w:val="24"/>
          <w:szCs w:val="24"/>
          <w:lang w:val="en-US" w:eastAsia="zh-CN"/>
        </w:rPr>
        <w:t>进行考核，要求考核合格率达到95%以上。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6598"/>
      <w:bookmarkStart w:id="34" w:name="_Toc31241"/>
      <w:r>
        <w:rPr>
          <w:rFonts w:hint="eastAsia"/>
          <w:lang w:val="en-US" w:eastAsia="zh-CN"/>
        </w:rPr>
        <w:t>人员培训管理计划</w:t>
      </w:r>
      <w:bookmarkEnd w:id="33"/>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培训计划，如表3-3所示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45"/>
        <w:gridCol w:w="2935"/>
        <w:gridCol w:w="1516"/>
        <w:gridCol w:w="1516"/>
        <w:gridCol w:w="131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24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培训方式</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运维部、质量部、人力部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人力部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专项</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研发部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运维部、研发部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2025年5月</w:t>
            </w:r>
          </w:p>
        </w:tc>
        <w:tc>
          <w:tcPr>
            <w:tcW w:w="1310"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内部</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质量部</w:t>
            </w:r>
          </w:p>
        </w:tc>
        <w:tc>
          <w:tcPr>
            <w:tcW w:w="1516"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IT软硬件采购流程入门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采购部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流程讲解</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研发部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线上培训</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运维部、研发部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认证培训</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网络安全管理培训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运维部、服务台</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角色扮演</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运维部、研发部、质量部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线上认证</w:t>
            </w:r>
          </w:p>
        </w:tc>
      </w:tr>
      <w:tr>
        <w:tblPrEx>
          <w:tblW w:w="0" w:type="auto"/>
          <w:tblInd w:w="0" w:type="dxa"/>
          <w:tblCellMar>
            <w:top w:w="0" w:type="dxa"/>
            <w:left w:w="108" w:type="dxa"/>
            <w:bottom w:w="0" w:type="dxa"/>
            <w:right w:w="108" w:type="dxa"/>
          </w:tblCellMar>
        </w:tblPrEx>
        <w:tc>
          <w:tcPr>
            <w:tcW w:w="1245" w:type="dxa"/>
            <w:vMerge w:val="restart"/>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总结</w:t>
            </w:r>
          </w:p>
        </w:tc>
      </w:tr>
      <w:tr>
        <w:tblPrEx>
          <w:tblW w:w="0" w:type="auto"/>
          <w:tblInd w:w="0" w:type="dxa"/>
          <w:tblCellMar>
            <w:top w:w="0" w:type="dxa"/>
            <w:left w:w="108" w:type="dxa"/>
            <w:bottom w:w="0" w:type="dxa"/>
            <w:right w:w="108" w:type="dxa"/>
          </w:tblCellMar>
        </w:tblPrEx>
        <w:tc>
          <w:tcPr>
            <w:tcW w:w="1245" w:type="dxa"/>
            <w:vMerge/>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935"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部门经理</w:t>
            </w:r>
          </w:p>
        </w:tc>
        <w:tc>
          <w:tcPr>
            <w:tcW w:w="1516"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培训保障机制：</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效果评估：每次培训后通过问卷或考试进行评估，并要求受训员工进行内部分享，确保知识转化。</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lang w:val="en-US" w:eastAsia="zh-CN"/>
        </w:rPr>
      </w:pPr>
      <w:r>
        <w:rPr>
          <w:rFonts w:hint="eastAsia"/>
          <w:lang w:val="en-US" w:eastAsia="zh-CN"/>
        </w:rPr>
        <w:t>与绩效挂钩：将培训参与度与完成情况纳入个人年度绩效考核的“能力与行为”维度。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32275"/>
      <w:bookmarkStart w:id="36" w:name="_Toc30635"/>
      <w:r>
        <w:rPr>
          <w:rFonts w:hint="eastAsia"/>
          <w:lang w:val="en-US" w:eastAsia="zh-CN"/>
        </w:rPr>
        <w:t>人员备份管理计划</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。关键岗位备份情况如表3-4所示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2130"/>
        <w:gridCol w:w="2131"/>
        <w:gridCol w:w="21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工作交接内容</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运维部经理</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核心联系人</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审批权限</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p>
        </w:tc>
        <w:tc>
          <w:tcPr>
            <w:tcW w:w="2131" w:type="dxa"/>
          </w:tcPr>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系统架构文档</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代码仓库权限</w:t>
            </w:r>
          </w:p>
        </w:tc>
      </w:tr>
      <w:tr>
        <w:tblPrEx>
          <w:tblW w:w="0" w:type="auto"/>
          <w:tblInd w:w="0" w:type="dxa"/>
          <w:tblCellMar>
            <w:top w:w="0" w:type="dxa"/>
            <w:left w:w="108" w:type="dxa"/>
            <w:bottom w:w="0" w:type="dxa"/>
            <w:right w:w="108" w:type="dxa"/>
          </w:tblCellMar>
        </w:tblPrEx>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eastAsia"/>
                <w:vertAlign w:val="baseline"/>
                <w:lang w:val="en-US" w:eastAsia="zh-CN"/>
              </w:rPr>
            </w:pPr>
            <w:r>
              <w:rPr>
                <w:rFonts w:hint="eastAsia"/>
                <w:vertAlign w:val="baseline"/>
                <w:lang w:val="en-US" w:eastAsia="zh-CN"/>
              </w:rPr>
              <w:t>供应商联络表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采购清单</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29324"/>
      <w:r>
        <w:rPr>
          <w:rFonts w:hint="eastAsia"/>
          <w:lang w:val="en-US" w:eastAsia="zh-CN"/>
        </w:rPr>
        <w:t>资源管理计划</w:t>
      </w:r>
      <w:bookmarkEnd w:id="3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19215"/>
      <w:r>
        <w:rPr>
          <w:rFonts w:hint="eastAsia"/>
          <w:lang w:val="en-US" w:eastAsia="zh-CN"/>
        </w:rPr>
        <w:t>运维工具管理计划</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运维工具管理以年度为周期进行考核，核心考核指标为年度自评估执行次数，目标值≥1次。由运维部牵头组织年度自评估，运维部与研发部参与，评估结果作为工具优化改进的依据。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20228"/>
      <w:r>
        <w:rPr>
          <w:rFonts w:hint="eastAsia"/>
          <w:lang w:val="en-US" w:eastAsia="zh-CN"/>
        </w:rPr>
        <w:t>服务台管理计划</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服务台管理以月度为核心考核周期，核心指标为一线问题解决率，目标值为≥90%。由运维部负责日常运营，质量部按月统计指标达成情况，评估结果纳入服务台人员绩效考核。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8150"/>
      <w:r>
        <w:rPr>
          <w:rFonts w:hint="eastAsia"/>
          <w:lang w:val="en-US" w:eastAsia="zh-CN"/>
        </w:rPr>
        <w:t>备件库管理计划</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备件库管理以季度为考核周期，核心指标为关键备件可用率，目标值为≥95%。由采购部负责库存管理与供应保障，质量部按季度统计指标达成情况，评估结果作为供应商管理与采购策略优化的依据。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8366"/>
      <w:r>
        <w:rPr>
          <w:rFonts w:hint="eastAsia"/>
          <w:lang w:val="en-US" w:eastAsia="zh-CN"/>
        </w:rPr>
        <w:t>服务知识管理计划</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实行月度与季度双周期考核。核心指标包括服务知识利用率（月度≥50%）和知识新增量（季度≥30条）。由服务台负责知识录入与应用推广，质量部按周期统计指标达成情况，评估结果纳入服务台团队绩效考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2193"/>
      <w:r>
        <w:rPr>
          <w:rFonts w:hint="eastAsia"/>
          <w:lang w:val="en-US" w:eastAsia="zh-CN"/>
        </w:rPr>
        <w:t>最终软件库管理计划</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最终软件库管理以年度为考核周期，核心指标为软件版本一致率，目标值为≥95%。由研发部负责最终软件库的维护与版本控制，质量部按年度统计指标达成情况，评估结果作为发布管理流程优化的重要依据。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3347"/>
      <w:r>
        <w:rPr>
          <w:rFonts w:hint="eastAsia"/>
          <w:lang w:val="en-US" w:eastAsia="zh-CN"/>
        </w:rPr>
        <w:t>服务数据管理计划</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服务数据管理以季度为考核周期，核心指标为服务数据准确率，目标值为≥98%。由运维部负责数据录入与维护，质量部按季度抽查审计，评估结果纳入运维团队绩效考核并作为数据质量改进依据。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22939"/>
      <w:r>
        <w:rPr>
          <w:rFonts w:hint="eastAsia"/>
          <w:lang w:val="en-US" w:eastAsia="zh-CN"/>
        </w:rPr>
        <w:t>技术管理计划</w:t>
      </w:r>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计划如表3-1、运维手册研发计划如表3-2、人员配置表如3-3所示，研发经费投入计划如表3-4所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6361"/>
      <w:r>
        <w:rPr>
          <w:rFonts w:hint="eastAsia"/>
          <w:lang w:val="en-US" w:eastAsia="zh-CN"/>
        </w:rPr>
        <w:t>运维工具二次开发</w:t>
      </w:r>
      <w:bookmarkEnd w:id="45"/>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研发进度表</w:t>
      </w:r>
    </w:p>
    <w:tbl>
      <w:tblPr>
        <w:tblStyle w:val="TableGrid"/>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79"/>
        <w:gridCol w:w="1498"/>
        <w:gridCol w:w="5788"/>
      </w:tblGrid>
      <w:tr>
        <w:tblPrEx>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b/>
                <w:bCs/>
                <w:vertAlign w:val="baseline"/>
                <w:lang w:val="en-US" w:eastAsia="zh-CN"/>
              </w:rPr>
            </w:pPr>
            <w:r>
              <w:rPr>
                <w:rFonts w:hint="eastAsia"/>
                <w:b/>
                <w:bCs/>
                <w:vertAlign w:val="baseline"/>
                <w:lang w:val="en-US" w:eastAsia="zh-CN"/>
              </w:rPr>
              <w:t>研发阶段</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b/>
                <w:bCs/>
                <w:vertAlign w:val="baseline"/>
                <w:lang w:val="en-US" w:eastAsia="zh-CN"/>
              </w:rPr>
            </w:pPr>
            <w:r>
              <w:rPr>
                <w:rFonts w:hint="eastAsia"/>
                <w:b/>
                <w:bCs/>
                <w:vertAlign w:val="baseline"/>
                <w:lang w:val="en-US" w:eastAsia="zh-CN"/>
              </w:rPr>
              <w:t>计划时间</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b/>
                <w:bCs/>
                <w:vertAlign w:val="baseline"/>
                <w:lang w:val="en-US" w:eastAsia="zh-CN"/>
              </w:rPr>
            </w:pPr>
            <w:r>
              <w:rPr>
                <w:rFonts w:hint="eastAsia"/>
                <w:b/>
                <w:bCs/>
                <w:vertAlign w:val="baseline"/>
                <w:lang w:val="en-US" w:eastAsia="zh-CN"/>
              </w:rPr>
              <w:t>工作内容</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流程模型设计</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2025.4</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收集运维相关部门的需求，进行分析，生成工作流业务模型，状态图、</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开发、配置</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2025.5-7</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开发自定义工作流</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测试、优化</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进行单元、集成测试，修改BUG</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试运行</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优先在运维部试运行，监测使用效果，提出改进意见</w:t>
            </w:r>
          </w:p>
        </w:tc>
      </w:tr>
      <w:tr>
        <w:tblPrEx>
          <w:tblW w:w="8965" w:type="dxa"/>
          <w:jc w:val="center"/>
          <w:tblCellMar>
            <w:top w:w="0" w:type="dxa"/>
            <w:left w:w="108" w:type="dxa"/>
            <w:bottom w:w="0" w:type="dxa"/>
            <w:right w:w="108" w:type="dxa"/>
          </w:tblCellMar>
        </w:tblPrEx>
        <w:trPr>
          <w:jc w:val="center"/>
        </w:trPr>
        <w:tc>
          <w:tcPr>
            <w:tcW w:w="167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正式运行</w:t>
            </w:r>
          </w:p>
        </w:tc>
        <w:tc>
          <w:tcPr>
            <w:tcW w:w="149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2025.11</w:t>
            </w:r>
          </w:p>
        </w:tc>
        <w:tc>
          <w:tcPr>
            <w:tcW w:w="5788"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hint="default"/>
                <w:vertAlign w:val="baseline"/>
                <w:lang w:val="en-US" w:eastAsia="zh-CN"/>
              </w:rPr>
            </w:pPr>
            <w:r>
              <w:rPr>
                <w:rFonts w:hint="eastAsia"/>
                <w:vertAlign w:val="baseline"/>
                <w:lang w:val="en-US" w:eastAsia="zh-CN"/>
              </w:rPr>
              <w:t>研发部对系统进行完售后正式上线</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12879"/>
      <w:r>
        <w:rPr>
          <w:rFonts w:hint="eastAsia"/>
          <w:lang w:val="en-US" w:eastAsia="zh-CN"/>
        </w:rPr>
        <w:t>运维手册研发</w:t>
      </w:r>
      <w:bookmarkEnd w:id="46"/>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运维手册研发计划表</w:t>
      </w:r>
    </w:p>
    <w:tbl>
      <w:tblPr>
        <w:tblStyle w:val="TableGrid"/>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01"/>
        <w:gridCol w:w="3575"/>
        <w:gridCol w:w="2841"/>
      </w:tblGrid>
      <w:tr>
        <w:tblPrEx>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0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手册名称</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计划时间</w:t>
            </w:r>
          </w:p>
        </w:tc>
      </w:tr>
      <w:tr>
        <w:tblPrEx>
          <w:tblW w:w="0" w:type="auto"/>
          <w:tblInd w:w="-195" w:type="dxa"/>
          <w:tblCellMar>
            <w:top w:w="0" w:type="dxa"/>
            <w:left w:w="108" w:type="dxa"/>
            <w:bottom w:w="0" w:type="dxa"/>
            <w:right w:w="108" w:type="dxa"/>
          </w:tblCellMar>
        </w:tblPrEx>
        <w:tc>
          <w:tcPr>
            <w:tcW w:w="2301" w:type="dxa"/>
          </w:tcPr>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Docker安装nginx</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2025.6</w:t>
            </w:r>
          </w:p>
        </w:tc>
      </w:tr>
      <w:tr>
        <w:tblPrEx>
          <w:tblW w:w="0" w:type="auto"/>
          <w:tblInd w:w="-195" w:type="dxa"/>
          <w:tblCellMar>
            <w:top w:w="0" w:type="dxa"/>
            <w:left w:w="108" w:type="dxa"/>
            <w:bottom w:w="0" w:type="dxa"/>
            <w:right w:w="108" w:type="dxa"/>
          </w:tblCellMar>
        </w:tblPrEx>
        <w:tc>
          <w:tcPr>
            <w:tcW w:w="2301" w:type="dxa"/>
          </w:tcPr>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default"/>
                <w:vertAlign w:val="baseline"/>
                <w:lang w:val="en-US" w:eastAsia="zh-CN"/>
              </w:rPr>
              <w:t>Jenkins构建java项目（分布式）</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2025.7</w:t>
            </w:r>
          </w:p>
        </w:tc>
      </w:tr>
      <w:tr>
        <w:tblPrEx>
          <w:tblW w:w="0" w:type="auto"/>
          <w:tblInd w:w="-195" w:type="dxa"/>
          <w:tblCellMar>
            <w:top w:w="0" w:type="dxa"/>
            <w:left w:w="108" w:type="dxa"/>
            <w:bottom w:w="0" w:type="dxa"/>
            <w:right w:w="108" w:type="dxa"/>
          </w:tblCellMar>
        </w:tblPrEx>
        <w:tc>
          <w:tcPr>
            <w:tcW w:w="2301" w:type="dxa"/>
          </w:tcPr>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default"/>
                <w:vertAlign w:val="baseline"/>
                <w:lang w:val="en-US" w:eastAsia="zh-CN"/>
              </w:rPr>
              <w:t>Jenkins构建前端项目（分布式）</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2025.8</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0304"/>
      <w:r>
        <w:rPr>
          <w:rFonts w:hint="eastAsia"/>
          <w:lang w:val="en-US" w:eastAsia="zh-CN"/>
        </w:rPr>
        <w:t>研发团队构成</w:t>
      </w:r>
      <w:bookmarkEnd w:id="47"/>
    </w:p>
    <w:p>
      <w:pPr>
        <w:pStyle w:val="a1"/>
        <w:rPr>
          <w:rFonts w:hint="eastAsia"/>
          <w:lang w:val="en-US" w:eastAsia="zh-CN"/>
        </w:rPr>
      </w:pPr>
      <w:r>
        <w:rPr>
          <w:rFonts w:hint="eastAsia"/>
          <w:lang w:val="en-US" w:eastAsia="zh-CN"/>
        </w:rPr>
        <w:t>根据公司发展需要，运维工具研发团队人员配置信息如表3-3所示</w:t>
      </w:r>
    </w:p>
    <w:p>
      <w:pPr>
        <w:pStyle w:val="a1"/>
        <w:ind w:left="0" w:right="0" w:firstLine="0" w:leftChars="0" w:rightChars="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人员配置表</w:t>
      </w:r>
    </w:p>
    <w:tbl>
      <w:tblPr>
        <w:tblStyle w:val="TableGrid"/>
        <w:tblW w:w="8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60"/>
        <w:gridCol w:w="1675"/>
        <w:gridCol w:w="5280"/>
      </w:tblGrid>
      <w:tr>
        <w:tblPrEx>
          <w:tblW w:w="8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职位名称</w:t>
            </w:r>
          </w:p>
        </w:tc>
        <w:tc>
          <w:tcPr>
            <w:tcW w:w="1675"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所属部门</w:t>
            </w:r>
          </w:p>
        </w:tc>
        <w:tc>
          <w:tcPr>
            <w:tcW w:w="5280" w:type="dxa"/>
          </w:tcPr>
          <w:p>
            <w:pPr>
              <w:pStyle w:val="a1"/>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研发部经理</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研发部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总体规划研发进度</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开发工程师</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研发部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编码、单元测试</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运维项目经理</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总体规划项目进度</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质量部经理</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质量部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跟进研发质量</w:t>
            </w:r>
          </w:p>
        </w:tc>
      </w:tr>
      <w:tr>
        <w:tblPrEx>
          <w:tblW w:w="8615" w:type="dxa"/>
          <w:tblInd w:w="0" w:type="dxa"/>
          <w:tblCellMar>
            <w:top w:w="0" w:type="dxa"/>
            <w:left w:w="108" w:type="dxa"/>
            <w:bottom w:w="0" w:type="dxa"/>
            <w:right w:w="108" w:type="dxa"/>
          </w:tblCellMar>
        </w:tblPrEx>
        <w:tc>
          <w:tcPr>
            <w:tcW w:w="1660"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需求分析师</w:t>
            </w:r>
          </w:p>
        </w:tc>
        <w:tc>
          <w:tcPr>
            <w:tcW w:w="167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研发部</w:t>
            </w:r>
          </w:p>
        </w:tc>
        <w:tc>
          <w:tcPr>
            <w:tcW w:w="528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收集、分析各运维部门需求，并生成需求报告</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12116"/>
      <w:r>
        <w:rPr>
          <w:rFonts w:hint="eastAsia"/>
          <w:lang w:val="en-US" w:eastAsia="zh-CN"/>
        </w:rPr>
        <w:t>运维经费投入</w:t>
      </w:r>
      <w:bookmarkEnd w:id="48"/>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研发经费投入计划表</w:t>
      </w:r>
    </w:p>
    <w:tbl>
      <w:tblPr>
        <w:tblStyle w:val="TableGrid"/>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77"/>
        <w:gridCol w:w="3575"/>
        <w:gridCol w:w="2841"/>
      </w:tblGrid>
      <w:tr>
        <w:tblPrEx>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277"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20643"/>
      <w:r>
        <w:rPr>
          <w:rFonts w:hint="eastAsia"/>
          <w:lang w:val="en-US" w:eastAsia="zh-CN"/>
        </w:rPr>
        <w:t>新技术研发</w:t>
      </w:r>
      <w:bookmarkEnd w:id="4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重点探索AIOps智能运维与可观测性技术栈。计划在2025年第四季度，基于开源技术搭建原型系统，实现智能告警收敛与自动化故障处理的初步能力，并与禅道流程平台进行集成验证。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13650"/>
      <w:r>
        <w:rPr>
          <w:rFonts w:hint="eastAsia"/>
          <w:lang w:val="en-US" w:eastAsia="zh-CN"/>
        </w:rPr>
        <w:t>过程管理计划</w:t>
      </w:r>
      <w:bookmarkEnd w:id="5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18269"/>
      <w:r>
        <w:rPr>
          <w:rFonts w:hint="eastAsia"/>
          <w:lang w:val="en-US" w:eastAsia="zh-CN"/>
        </w:rPr>
        <w:t>过程框架管理计划</w:t>
      </w:r>
      <w:bookmarkEnd w:id="5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过程框架管理以年度为考核周期，核心指标为过程框架自评估完成率，目标值为年度不少于1次全面评估。由运维部负责组织评估实施，质量部负责监督评估过程，评估结果作为过程体系持续改进的重要依据。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17192"/>
      <w:r>
        <w:rPr>
          <w:rFonts w:hint="eastAsia"/>
          <w:lang w:val="en-US" w:eastAsia="zh-CN"/>
        </w:rPr>
        <w:t>服务级别管理计划</w:t>
      </w:r>
      <w:bookmarkEnd w:id="5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服务级别管理以季度为考核周期，核心指标为SLA达成率，目标值为≥95%。由运维部负责服务级别协议的执行与监控，质量部按季度统计指标达成情况，评估结果作为服务改进和资源配置的重要依据。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9076"/>
      <w:r>
        <w:rPr>
          <w:rFonts w:hint="eastAsia"/>
          <w:lang w:val="en-US" w:eastAsia="zh-CN"/>
        </w:rPr>
        <w:t>服务报告管理计划</w:t>
      </w:r>
      <w:bookmarkEnd w:id="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服务报告管理以季度为考核周期，核心指标为服务报告提交及时率，目标值为≥95%。由运维部负责服务报告的编制与提交，质量部负责报告质量审核，评估结果纳入服务报告流程优化依据。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2871"/>
      <w:r>
        <w:rPr>
          <w:rFonts w:hint="eastAsia"/>
          <w:lang w:val="en-US" w:eastAsia="zh-CN"/>
        </w:rPr>
        <w:t>事件管理计划</w:t>
      </w:r>
      <w:bookmarkEnd w:id="5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事件管理以月度为核心考核周期，核心指标包括事件响应及时率（≥95%）和事件按时解决率（≥90%）。由运维部负责事件全过程处理，质量部按月统计指标数据，评估结果作为事件管理流程优化的重要依据。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8390"/>
      <w:bookmarkStart w:id="56" w:name="_Toc1404"/>
      <w:r>
        <w:rPr>
          <w:rFonts w:hint="eastAsia"/>
          <w:lang w:val="en-US" w:eastAsia="zh-CN"/>
        </w:rPr>
        <w:t>问题管理计划</w:t>
      </w:r>
      <w:bookmarkEnd w:id="55"/>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问题管理以季度为考核周期，核心指标为问题解决率，目标值为≥95%。由运维部负责问题分析及解决，质量部按季度跟踪问题处理进展，评估结果作为问题管理流程持续改进的依据。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5156"/>
      <w:r>
        <w:rPr>
          <w:rFonts w:hint="eastAsia"/>
          <w:lang w:val="en-US" w:eastAsia="zh-CN"/>
        </w:rPr>
        <w:t>变更管理计划</w:t>
      </w:r>
      <w:bookmarkEnd w:id="5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变更管理以季度为考核周期，核心指标为变更成功率，目标值为≥95%。由运维部负责变更实施，质量部负责监控变更过程，评估结果作为变更流程优化和风险控制的重要依据。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4086"/>
      <w:r>
        <w:rPr>
          <w:rFonts w:hint="eastAsia"/>
          <w:lang w:val="en-US" w:eastAsia="zh-CN"/>
        </w:rPr>
        <w:t>发布管理计划</w:t>
      </w:r>
      <w:bookmarkEnd w:id="5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发布管理以季度为考核周期，核心指标为发布成功率，目标值为≥95%。由运维部负责发布执行，质量部负责发布质量监控，评估结果作为发布流程持续改进的重要依据。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1167"/>
      <w:r>
        <w:rPr>
          <w:rFonts w:hint="eastAsia"/>
          <w:lang w:val="en-US" w:eastAsia="zh-CN"/>
        </w:rPr>
        <w:t>配置管理计划</w:t>
      </w:r>
      <w:bookmarkEnd w:id="5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配置管理以季度为考核周期，核心指标为配置准确率，目标值为≥99%。由运维部负责配置项维护，质量部负责配置审计，评估结果作为配置管理流程优化的重要依据。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11909"/>
      <w:r>
        <w:rPr>
          <w:rFonts w:hint="eastAsia"/>
          <w:lang w:val="en-US" w:eastAsia="zh-CN"/>
        </w:rPr>
        <w:t>服务可用性和连续性管理计划</w:t>
      </w:r>
      <w:bookmarkEnd w:id="6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服务可用性与连续性管理以月度为核心考核周期，核心指标包括关键服务可用率（≥99%）和服务中断事件次数（≤1次）。由运维部负责服务可用性监控与连续性保障，质量部按月统计分析指标数据，评估结果作为服务连续性改进和风险评估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6541"/>
      <w:r>
        <w:rPr>
          <w:rFonts w:hint="eastAsia"/>
          <w:lang w:val="en-US" w:eastAsia="zh-CN"/>
        </w:rPr>
        <w:t>容量管理计划</w:t>
      </w:r>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容量管理以季度为考核周期，核心指标为容量事件次数，目标值为季度不超过1次。由运维部负责容量规划与监控，质量部负责跟踪容量事件，评估结果作为容量规划优化的重要依据。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3849"/>
      <w:r>
        <w:rPr>
          <w:rFonts w:hint="eastAsia"/>
          <w:lang w:val="en-US" w:eastAsia="zh-CN"/>
        </w:rPr>
        <w:t>信息安全管理计划</w:t>
      </w:r>
      <w:bookmarkEnd w:id="6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信息安全管理以年度为考核周期，核心指标为客户信息泄露事件次数，目标值为年度不超过2次。由运维部负责信息安全防护，质量部负责安全审计，评估结果作为信息安全管理体系改进的重要依据。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3" w:name="_Toc1513"/>
      <w:r>
        <w:rPr>
          <w:rFonts w:hint="eastAsia"/>
          <w:lang w:val="en-US" w:eastAsia="zh-CN"/>
        </w:rPr>
        <w:t>交付管理计划</w:t>
      </w:r>
      <w:bookmarkEnd w:id="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w:t>
      </w:r>
      <w:r>
        <w:rPr>
          <w:rFonts w:hint="default"/>
          <w:lang w:val="en-US" w:eastAsia="zh-CN"/>
        </w:rPr>
        <w:t>GB/T 28827.2-2012</w:t>
      </w:r>
      <w:r>
        <w:rPr>
          <w:rFonts w:hint="eastAsia"/>
          <w:lang w:val="en-US" w:eastAsia="zh-CN"/>
        </w:rPr>
        <w:t>《信息技术服务运行维护第</w:t>
      </w:r>
      <w:r>
        <w:rPr>
          <w:rFonts w:hint="default"/>
          <w:lang w:val="en-US" w:eastAsia="zh-CN"/>
        </w:rPr>
        <w:t>2</w:t>
      </w:r>
      <w:r>
        <w:rPr>
          <w:rFonts w:hint="eastAsia"/>
          <w:lang w:val="en-US" w:eastAsia="zh-CN"/>
        </w:rPr>
        <w:t>部分：交付规范》建立并发布《交付管理制度》，明确交付内容与交付考核指标要求。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核心指标为交付及时率，目标值为≥95%。由运维部负责服务交付执行，质量部按季度统计指标达成情况，评估结果作为交付流程优化和服务质量改进的重要依据。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4" w:name="_Toc27619"/>
      <w:r>
        <w:rPr>
          <w:rFonts w:hint="eastAsia"/>
          <w:lang w:val="en-US" w:eastAsia="zh-CN"/>
        </w:rPr>
        <w:t>应急管理计划</w:t>
      </w:r>
      <w:bookmarkEnd w:id="6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依据</w:t>
      </w:r>
      <w:r>
        <w:rPr>
          <w:lang w:val="en-US" w:eastAsia="zh-CN"/>
        </w:rPr>
        <w:t>GB/T28827.3-2012</w:t>
      </w:r>
      <w:r>
        <w:rPr>
          <w:rFonts w:hint="eastAsia"/>
          <w:lang w:val="en-US" w:eastAsia="zh-CN"/>
        </w:rPr>
        <w:t>《信息技术服务运行维护第</w:t>
      </w:r>
      <w:r>
        <w:rPr>
          <w:rFonts w:hint="default"/>
          <w:lang w:val="en-US" w:eastAsia="zh-CN"/>
        </w:rPr>
        <w:t>3</w:t>
      </w:r>
      <w:r>
        <w:rPr>
          <w:rFonts w:hint="eastAsia"/>
          <w:lang w:val="en-US" w:eastAsia="zh-CN"/>
        </w:rPr>
        <w:t>部分：应急响应规范》制订并发布《应急管理制度》。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以年度为考核周期，核心指标为应急演练次数，目标值为年度完成不少于1次综合应急演练并输出完整的演练报告。由运维部负责应急演练的组织实施，质量部负责评估演练效果，评估结果作为应急预案优化和应急能力提升的重要依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10357"/>
      <w:r>
        <w:rPr>
          <w:rFonts w:hint="eastAsia"/>
          <w:lang w:val="en-US" w:eastAsia="zh-CN"/>
        </w:rPr>
        <w:t>质量管理计划</w:t>
      </w:r>
      <w:bookmarkEnd w:id="6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6" w:name="_Toc14762"/>
      <w:r>
        <w:rPr>
          <w:rFonts w:hint="eastAsia"/>
          <w:lang w:val="en-US" w:eastAsia="zh-CN"/>
        </w:rPr>
        <w:t>内审</w:t>
      </w:r>
      <w:bookmarkEnd w:id="6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审核运维服务活动及其结果是否符合策划的安排，确保ITSS运维服务能力管理体系的有效性。 </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运维服务能力内审由质量部负责组织实施，每年最少进行一次。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7" w:name="_Toc14845"/>
      <w:r>
        <w:rPr>
          <w:rFonts w:hint="eastAsia"/>
          <w:lang w:val="en-US" w:eastAsia="zh-CN"/>
        </w:rPr>
        <w:t>管评</w:t>
      </w:r>
      <w:bookmarkEnd w:id="6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管理评审目的是对公司ITSS运维服务能力管理体系进行系统评审，识别并确定各种改进的机会和需要，确保ITSS运维服务能力管理体系持续的适宜性、充分性和有效性。 </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运维服务能力管理评审由总经理</w:t>
      </w:r>
      <w:bookmarkStart w:id="68" w:name="_GoBack"/>
      <w:bookmarkEnd w:id="68"/>
      <w:r>
        <w:rPr>
          <w:rFonts w:hint="eastAsia"/>
          <w:lang w:val="en-US" w:eastAsia="zh-CN"/>
        </w:rPr>
        <w:t>组织实施，每年至少进行一次。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9" w:name="_Toc17185"/>
      <w:r>
        <w:rPr>
          <w:rFonts w:hint="eastAsia"/>
          <w:lang w:val="en-US" w:eastAsia="zh-CN"/>
        </w:rPr>
        <w:t>客户满意度</w:t>
      </w:r>
      <w:bookmarkEnd w:id="6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是衡量服务质量的核心指标，直接反映服务价值与客户期望的匹配程度。本项管理以季度为考核周期，核心指标为总体满意度，目标值为≥90%。由质量部负责满意度调研的实施与数据分析，评估结果将作为服务改进、流程优化及资源配置的核心依据，推动服务能力持续提升。</w:t>
      </w:r>
    </w:p>
    <w:p>
      <w:pPr>
        <w:pStyle w:val="3"/>
        <w:bidi w:val="0"/>
        <w:rPr>
          <w:rFonts w:hint="default"/>
          <w:lang w:val="en-US" w:eastAsia="zh-CN"/>
        </w:rPr>
      </w:pPr>
      <w:bookmarkStart w:id="70" w:name="_Toc22413"/>
      <w:r>
        <w:rPr>
          <w:rFonts w:hint="eastAsia"/>
          <w:lang w:val="en-US" w:eastAsia="zh-CN"/>
        </w:rPr>
        <w:t>客户投诉</w:t>
      </w:r>
      <w:bookmarkEnd w:id="70"/>
    </w:p>
    <w:p>
      <w:pPr>
        <w:pStyle w:val="a1"/>
        <w:bidi w:val="0"/>
        <w:rPr>
          <w:rFonts w:hint="default"/>
          <w:lang w:val="en-US" w:eastAsia="zh-CN"/>
        </w:rPr>
      </w:pPr>
      <w:r>
        <w:t>2025年度客户投诉管理依据《运维服务能力管理指标体系》执行，年度投诉次数目标值为不超过3次，由质量部负责统计与监控。</w:t>
      </w:r>
    </w:p>
    <w:p>
      <w:pPr>
        <w:pStyle w:val="a1"/>
        <w:rPr>
          <w:rFonts w:hint="default"/>
          <w:lang w:val="en-US" w:eastAsia="zh-CN"/>
        </w:rPr>
      </w:pP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F6A624D"/>
    <w:multiLevelType w:val="singleLevel"/>
    <w:tmpl w:val="AF6A624D"/>
    <w:lvl w:ilvl="0">
      <w:start w:val="1"/>
      <w:numFmt w:val="decimal"/>
      <w:lvlText w:val="%1."/>
      <w:lvlJc w:val="left"/>
      <w:pPr>
        <w:tabs>
          <w:tab w:val="left" w:pos="312"/>
        </w:tabs>
      </w:pPr>
    </w:lvl>
  </w:abstractNum>
  <w:abstractNum w:abstractNumId="2">
    <w:nsid w:val="BA9CD5B4"/>
    <w:multiLevelType w:val="singleLevel"/>
    <w:tmpl w:val="BA9CD5B4"/>
    <w:lvl w:ilvl="0">
      <w:start w:val="1"/>
      <w:numFmt w:val="decimal"/>
      <w:lvlText w:val="%1."/>
      <w:lvlJc w:val="left"/>
      <w:pPr>
        <w:tabs>
          <w:tab w:val="left" w:pos="312"/>
        </w:tabs>
      </w:pPr>
    </w:lvl>
  </w:abstractNum>
  <w:abstractNum w:abstractNumId="3">
    <w:nsid w:val="CECB61F6"/>
    <w:multiLevelType w:val="singleLevel"/>
    <w:tmpl w:val="CECB61F6"/>
    <w:lvl w:ilvl="0">
      <w:start w:val="1"/>
      <w:numFmt w:val="decimal"/>
      <w:lvlText w:val="%1."/>
      <w:lvlJc w:val="left"/>
      <w:pPr>
        <w:ind w:left="425" w:hanging="425"/>
      </w:pPr>
      <w:rPr>
        <w:rFonts w:hint="default"/>
      </w:rPr>
    </w:lvl>
  </w:abstractNum>
  <w:abstractNum w:abstractNumId="4">
    <w:nsid w:val="EEFE97EC"/>
    <w:multiLevelType w:val="singleLevel"/>
    <w:tmpl w:val="EEFE97EC"/>
    <w:lvl w:ilvl="0">
      <w:start w:val="1"/>
      <w:numFmt w:val="decimal"/>
      <w:lvlText w:val="%1."/>
      <w:lvlJc w:val="left"/>
      <w:pPr>
        <w:ind w:left="425" w:hanging="425"/>
      </w:pPr>
      <w:rPr>
        <w:rFonts w:hint="default"/>
      </w:rPr>
    </w:lvl>
  </w:abstractNum>
  <w:abstractNum w:abstractNumId="5">
    <w:nsid w:val="29320EFE"/>
    <w:multiLevelType w:val="singleLevel"/>
    <w:tmpl w:val="29320EFE"/>
    <w:lvl w:ilvl="0">
      <w:start w:val="1"/>
      <w:numFmt w:val="decimal"/>
      <w:lvlText w:val="%1."/>
      <w:lvlJc w:val="left"/>
      <w:pPr>
        <w:ind w:left="425" w:hanging="425"/>
      </w:pPr>
      <w:rPr>
        <w:rFonts w:hint="default"/>
      </w:rPr>
    </w:lvl>
  </w:abstractNum>
  <w:abstractNum w:abstractNumId="6">
    <w:nsid w:val="3538D2FA"/>
    <w:multiLevelType w:val="singleLevel"/>
    <w:tmpl w:val="3538D2FA"/>
    <w:lvl w:ilvl="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18</Pages>
  <Words>5303</Words>
  <Characters>5879</Characters>
  <Application>Microsoft Office Word</Application>
  <DocSecurity>0</DocSecurity>
  <Lines>0</Lines>
  <Paragraphs>0</Paragraphs>
  <ScaleCrop>false</ScaleCrop>
  <Company/>
  <LinksUpToDate>false</LinksUpToDate>
  <CharactersWithSpaces>6135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2026-05-26T13:33:17Z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