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18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243"/>
      <w:r>
        <w:rPr>
          <w:rFonts w:hint="eastAsia"/>
          <w:lang w:val="en-US" w:eastAsia="zh-CN"/>
        </w:rPr>
        <w:t>客户满意度调查管理制度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文件编号：ZGS-04-03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_Toc19181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客户满意度调查管理制度</w:t>
          </w:r>
          <w:r>
            <w:tab/>
          </w:r>
          <w:r>
            <w:fldChar w:fldCharType="begin"/>
          </w:r>
          <w:r>
            <w:instrText xml:space="preserve"> PAGEREF _Toc12243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_Toc5712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_Toc15265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_Toc25727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_Toc17720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_Toc21506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_Toc3064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_Toc4490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运维部</w:t>
          </w:r>
          <w:r>
            <w:tab/>
          </w:r>
          <w:r>
            <w:fldChar w:fldCharType="begin"/>
          </w:r>
          <w:r>
            <w:instrText xml:space="preserve"> PAGEREF _Toc4490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数据部</w:t>
          </w:r>
          <w:r>
            <w:tab/>
          </w:r>
          <w:r>
            <w:fldChar w:fldCharType="begin"/>
          </w:r>
          <w:r>
            <w:instrText xml:space="preserve"> PAGEREF _Toc10534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_Toc5961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_Toc25642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_Toc21790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监视</w:t>
          </w:r>
          <w:r>
            <w:tab/>
          </w:r>
          <w:r>
            <w:fldChar w:fldCharType="begin"/>
          </w:r>
          <w:r>
            <w:instrText xml:space="preserve"> PAGEREF _Toc25391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测量</w:t>
          </w:r>
          <w:r>
            <w:tab/>
          </w:r>
          <w:r>
            <w:fldChar w:fldCharType="begin"/>
          </w:r>
          <w:r>
            <w:instrText xml:space="preserve"> PAGEREF _Toc7970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_Toc24066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_Toc24066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客户沟通管理</w:t>
          </w:r>
          <w:r>
            <w:tab/>
          </w:r>
          <w:r>
            <w:fldChar w:fldCharType="begin"/>
          </w:r>
          <w:r>
            <w:instrText xml:space="preserve"> PAGEREF _Toc6567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客户满意度调查</w:t>
          </w:r>
          <w:r>
            <w:tab/>
          </w:r>
          <w:r>
            <w:fldChar w:fldCharType="begin"/>
          </w:r>
          <w:r>
            <w:instrText xml:space="preserve"> PAGEREF _Toc19611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改进与验证</w:t>
          </w:r>
          <w:r>
            <w:tab/>
          </w:r>
          <w:r>
            <w:fldChar w:fldCharType="begin"/>
          </w:r>
          <w:r>
            <w:instrText xml:space="preserve"> PAGEREF _Toc22018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_Toc5940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_Toc11995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_Toc15327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_Toc10205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5712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7446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为系统化地监视、测量和分析客户对运维服务的满意程度，准确识别客户显性与潜在需求，科学评价公司管理体系的有效性，并为服务质量的持续改进提供决策依据，特制定本制度。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5265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本制度适用于对公司运维服务管理体系运行中，客户满意程度的监视、测量、分析、评价及改进活动的全过程管理。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5727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客观公正：基于事实和数据，确保收集的客户反馈真实、准确。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持续改进：将客户满意度结果作为驱动服务质量持续提升的核心动力。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闭环管理：对客户反馈实施从收集、分析、改进到验证的全程跟踪。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720"/>
      <w:r>
        <w:rPr>
          <w:rFonts w:hint="eastAsia"/>
          <w:lang w:val="en-US" w:eastAsia="zh-CN"/>
        </w:rPr>
        <w:t>岗位职责</w:t>
      </w:r>
      <w:bookmarkEnd w:id="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1506"/>
      <w:r>
        <w:rPr>
          <w:rFonts w:hint="eastAsia"/>
          <w:lang w:val="en-US" w:eastAsia="zh-CN"/>
        </w:rPr>
        <w:t>运维部经理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负责策划并实施年度客户沟通计划；组织对客户沟通记录进行综合分析，形成报告；监督服务整改措施的落实与效果跟踪。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064"/>
      <w:r>
        <w:rPr>
          <w:rFonts w:hint="eastAsia"/>
          <w:lang w:val="en-US" w:eastAsia="zh-CN"/>
        </w:rPr>
        <w:t>服务台专员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负责策划并组织实施客户满意度调查；收集、确认并分析客户满意度信息，编制分析报告；负责就改进事项与客户沟通，并跟踪验证实施效果。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4490"/>
      <w:r>
        <w:rPr>
          <w:rFonts w:hint="default"/>
          <w:lang w:val="en-US" w:eastAsia="zh-CN"/>
        </w:rPr>
        <w:t>运维部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负责配合进行客户反馈信息的分析与改进措施的实施；具体负责客户投诉的处理；负责保存与本部门相关的服务与沟通记录。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0534"/>
      <w:r>
        <w:rPr>
          <w:rFonts w:hint="default"/>
          <w:lang w:val="en-US" w:eastAsia="zh-CN"/>
        </w:rPr>
        <w:t>质量部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负责对本程序的执行情况进行监督，并归档保管全公司的客户满意度调查资料。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5961"/>
      <w:r>
        <w:rPr>
          <w:rFonts w:hint="eastAsia"/>
          <w:lang w:val="en-US" w:eastAsia="zh-CN"/>
        </w:rPr>
        <w:t>引用依据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3" w:name="_Toc25642"/>
      <w:r>
        <w:rPr>
          <w:rFonts w:hint="eastAsia"/>
          <w:lang w:val="en-US" w:eastAsia="zh-CN"/>
        </w:rPr>
        <w:t>定义与术语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21790"/>
      <w:r>
        <w:rPr>
          <w:rFonts w:hint="eastAsia"/>
        </w:rPr>
        <w:t>客户满意度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客户对其要求已被满足的程度的感受。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25391"/>
      <w:r>
        <w:rPr>
          <w:rFonts w:hint="eastAsia"/>
        </w:rPr>
        <w:t>监视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确定体系、过程、服务或活动的状态。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7970"/>
      <w:r>
        <w:rPr>
          <w:rFonts w:hint="eastAsia"/>
        </w:rPr>
        <w:t>测量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确定数值的过程。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4066"/>
      <w:r>
        <w:rPr>
          <w:rFonts w:hint="eastAsia"/>
          <w:lang w:val="en-US" w:eastAsia="zh-CN"/>
        </w:rPr>
        <w:t>管理内容与要求</w:t>
      </w:r>
      <w:bookmarkEnd w:id="1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6567"/>
      <w:r>
        <w:rPr>
          <w:rFonts w:hint="default"/>
          <w:lang w:val="en-US" w:eastAsia="zh-CN"/>
        </w:rPr>
        <w:t>客户沟通管理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划：运维部负责人需于每年初制定《年度客户沟通计划》，明确沟通对象、频率、方式及内容。全面沟通每半年不少于一次，采用走访或面谈形式；项目级沟通每季度进行1-2次，可采用电话、电子邮件等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沟通实施与记录：按计划执行沟通，并详细记录沟通内容于《客户沟通记录》中。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分析与改进：运维部负责人组织对沟通记录进行综合分析，编制《客户沟通分析报告》，并监督报告中确定的改进措施的落实与效果。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9611"/>
      <w:r>
        <w:rPr>
          <w:rFonts w:hint="default"/>
          <w:lang w:val="en-US" w:eastAsia="zh-CN"/>
        </w:rPr>
        <w:t>客户满意度调查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方案策划：</w:t>
      </w: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负责根据年度管理目标，制定《客户满意度调查方案》，明确调查项目、对象、方法、人员与时间安排，并设计《客户满意度调查表》。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调查实施：按方案采用现场走访、电话访问、在线问卷等方式实施调查，确保在计划时间内完成并回收调查表。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统计分析：</w:t>
      </w: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对收集的数据进行多维分析，包括但不限于：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交叉分组分析：从不同客户群体中挖掘差异化的满意度表现。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图表与趋势分析：直观展示满意度均值、总体满意度与分项满意度情况，并与历史数据进行对比，识别趋势。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满意度计算：采用加权平均法计算总体客户满意度。计算公式如下：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ascii="Cambria Math" w:hint="default"/>
            </w:rPr>
            <m:t>总体满意度</m:t>
          </m:r>
          <m:r>
            <w:rPr>
              <w:rFonts w:ascii="Cambria Math" w:hint="default"/>
            </w:rPr>
            <m:t>=∑(</m:t>
          </m:r>
          <m:r>
            <m:rPr>
              <m:sty m:val="p"/>
            </m:rPr>
            <w:rPr>
              <w:rFonts w:ascii="Cambria Math" w:hint="default"/>
            </w:rPr>
            <m:t>各调查项样本数×对应分值×权重</m:t>
          </m:r>
          <m:r>
            <w:rPr>
              <w:rFonts w:ascii="Cambria Math" w:hint="default"/>
            </w:rPr>
            <m:t>)/(</m:t>
          </m:r>
          <m:r>
            <m:rPr>
              <m:sty m:val="p"/>
            </m:rPr>
            <w:rPr>
              <w:rFonts w:ascii="Cambria Math" w:hint="default"/>
            </w:rPr>
            <m:t>样本总数×</m:t>
          </m:r>
          <m:r>
            <w:rPr>
              <w:rFonts w:ascii="Cambria Math" w:hint="default"/>
            </w:rPr>
            <m:t>100)</m:t>
          </m:r>
          <m:r>
            <m:rPr>
              <m:sty m:val="p"/>
            </m:rPr>
            <w:rPr>
              <w:rFonts w:ascii="Cambria Math" w:hint="default"/>
            </w:rPr>
            <m:t>×</m:t>
          </m:r>
          <m:r>
            <w:rPr>
              <w:rFonts w:ascii="Cambria Math" w:hint="default"/>
            </w:rPr>
            <m:t>100%</m:t>
          </m:r>
        </m:oMath>
      </m:oMathPara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表4-1满意度调查维度及权重表</w:t>
      </w:r>
    </w:p>
    <w:tbl>
      <w:tblPr>
        <w:tblStyle w:val="TableNormal1"/>
        <w:tblW w:w="87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"/>
        <w:gridCol w:w="621"/>
        <w:gridCol w:w="490"/>
        <w:gridCol w:w="490"/>
        <w:gridCol w:w="489"/>
        <w:gridCol w:w="489"/>
        <w:gridCol w:w="619"/>
        <w:gridCol w:w="619"/>
        <w:gridCol w:w="619"/>
        <w:gridCol w:w="489"/>
        <w:gridCol w:w="686"/>
        <w:gridCol w:w="691"/>
        <w:gridCol w:w="619"/>
        <w:gridCol w:w="554"/>
        <w:gridCol w:w="491"/>
      </w:tblGrid>
      <w:tr>
        <w:tblPrEx>
          <w:tblW w:w="8763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/>
          <w:jc w:val="center"/>
        </w:trPr>
        <w:tc>
          <w:tcPr>
            <w:tcW w:w="797" w:type="dxa"/>
            <w:vMerge w:val="restart"/>
            <w:tcBorders>
              <w:bottom w:val="nil"/>
            </w:tcBorders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5" w:line="206" w:lineRule="auto"/>
              <w:ind w:left="55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项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目</w:t>
            </w:r>
          </w:p>
        </w:tc>
        <w:tc>
          <w:tcPr>
            <w:tcW w:w="4436" w:type="dxa"/>
            <w:gridSpan w:val="8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82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485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33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554" w:type="dxa"/>
            <w:vMerge w:val="restart"/>
            <w:tcBorders>
              <w:bottom w:val="nil"/>
            </w:tcBorders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08" w:lineRule="auto"/>
              <w:ind w:left="320"/>
              <w:jc w:val="center"/>
              <w:textAlignment w:val="baseline"/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/>
                <w:b/>
                <w:bCs/>
                <w:spacing w:val="38"/>
                <w:sz w:val="18"/>
                <w:szCs w:val="18"/>
              </w:rPr>
              <w:t>备件</w:t>
            </w:r>
            <w:r>
              <w:rPr>
                <w:rFonts w:ascii="宋体" w:eastAsia="宋体" w:hAnsi="宋体" w:cs="宋体" w:hint="eastAsia"/>
                <w:b/>
                <w:bCs/>
                <w:spacing w:val="38"/>
                <w:sz w:val="18"/>
                <w:szCs w:val="18"/>
                <w:lang w:val="en-US" w:eastAsia="zh-CN"/>
              </w:rPr>
              <w:t>供应</w:t>
            </w:r>
          </w:p>
        </w:tc>
        <w:tc>
          <w:tcPr>
            <w:tcW w:w="491" w:type="dxa"/>
            <w:vMerge w:val="restart"/>
            <w:tcBorders>
              <w:bottom w:val="nil"/>
            </w:tcBorders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47" w:line="208" w:lineRule="auto"/>
              <w:ind w:left="55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24"/>
                <w:sz w:val="18"/>
                <w:szCs w:val="18"/>
              </w:rPr>
              <w:t>培训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/>
          <w:jc w:val="center"/>
        </w:trPr>
        <w:tc>
          <w:tcPr>
            <w:tcW w:w="797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29" w:right="12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专业技术</w:t>
            </w:r>
          </w:p>
        </w:tc>
        <w:tc>
          <w:tcPr>
            <w:tcW w:w="490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53" w:line="204" w:lineRule="auto"/>
              <w:ind w:left="21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490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软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50" w:line="209" w:lineRule="auto"/>
              <w:ind w:left="21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硬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安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全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4" w:right="125" w:hanging="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运维</w:t>
            </w:r>
            <w:r>
              <w:rPr>
                <w:rFonts w:ascii="宋体" w:eastAsia="宋体" w:hAnsi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3" w:line="342" w:lineRule="auto"/>
              <w:ind w:left="129" w:right="124" w:firstLine="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服务</w:t>
            </w: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9" w:right="123" w:hanging="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热线</w:t>
            </w:r>
            <w:r>
              <w:rPr>
                <w:rFonts w:ascii="宋体" w:eastAsia="宋体" w:hAnsi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489" w:type="dxa"/>
            <w:textDirection w:val="tbRlV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48" w:line="209" w:lineRule="auto"/>
              <w:ind w:left="21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态</w:t>
            </w:r>
            <w:r>
              <w:rPr>
                <w:rFonts w:ascii="宋体" w:eastAsia="宋体" w:hAnsi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度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17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15" w:line="270" w:lineRule="auto"/>
              <w:ind w:left="259" w:right="155" w:hanging="9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及时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性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17" w:line="270" w:lineRule="auto"/>
              <w:ind w:left="258" w:right="157" w:hanging="7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13" w:line="344" w:lineRule="auto"/>
              <w:ind w:left="136" w:right="120" w:firstLine="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行为</w:t>
            </w: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554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91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 w:line="220" w:lineRule="auto"/>
              <w:jc w:val="right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29"/>
                <w:sz w:val="18"/>
                <w:szCs w:val="18"/>
              </w:rPr>
              <w:t>权数（%）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3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7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7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6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8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5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30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6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30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6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7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6"/>
              <w:ind w:left="17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6"/>
                <w:sz w:val="18"/>
                <w:szCs w:val="18"/>
              </w:rPr>
              <w:t>10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21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8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8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9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9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22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22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9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6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7"/>
              <w:ind w:left="12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5"/>
                <w:sz w:val="18"/>
                <w:szCs w:val="18"/>
              </w:rPr>
              <w:t>100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2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18"/>
                <w:szCs w:val="18"/>
              </w:rPr>
              <w:t>较满意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1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5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2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2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2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5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5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6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22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9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8"/>
              <w:ind w:left="16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90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 w:line="221" w:lineRule="auto"/>
              <w:ind w:left="22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2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5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2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2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2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6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6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6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23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9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79"/>
              <w:ind w:left="16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3"/>
                <w:sz w:val="18"/>
                <w:szCs w:val="18"/>
              </w:rPr>
              <w:t>70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 w:line="220" w:lineRule="auto"/>
              <w:ind w:left="13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6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6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6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6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303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30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7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40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0"/>
              <w:ind w:left="207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0</w:t>
            </w:r>
          </w:p>
        </w:tc>
      </w:tr>
      <w:tr>
        <w:tblPrEx>
          <w:tblW w:w="8763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/>
          <w:jc w:val="center"/>
        </w:trPr>
        <w:tc>
          <w:tcPr>
            <w:tcW w:w="79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81" w:line="295" w:lineRule="auto"/>
              <w:ind w:left="312" w:right="125" w:hanging="18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很不满</w:t>
            </w:r>
            <w:r>
              <w:rPr>
                <w:rFonts w:ascii="宋体" w:eastAsia="宋体" w:hAnsi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2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7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0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7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75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76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12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211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21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79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55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48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247"/>
              <w:ind w:left="114"/>
              <w:textAlignment w:val="baseline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宋体" w:eastAsia="宋体" w:hAnsi="宋体" w:cs="宋体"/>
                <w:spacing w:val="-2"/>
                <w:sz w:val="18"/>
                <w:szCs w:val="18"/>
              </w:rPr>
              <w:t>-10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2018"/>
      <w:r>
        <w:rPr>
          <w:rFonts w:hint="default"/>
          <w:lang w:val="en-US" w:eastAsia="zh-CN"/>
        </w:rPr>
        <w:t>改进与验证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报告编制：</w:t>
      </w: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基于统计分析结果，编制《客户满意度分析报告》，评估优劣，识别改进机会。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措施制定与实施：报告应提交至管理层，并分发至相关责任部门。责任部门需对报告中指出的问题分析根本原因，制定并实施纠正与预防措施。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效果跟踪：</w:t>
      </w: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及运维部经理负责对改进措施的实施效果进行跟踪验证，确保问题得到有效解决，形成管理闭环。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5940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65"/>
        <w:gridCol w:w="996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26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99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频次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z w:val="24"/>
                <w:szCs w:val="24"/>
                <w:lang w:val="en-US" w:eastAsia="zh-CN"/>
              </w:rPr>
              <w:t>总体满意度</w:t>
            </w:r>
          </w:p>
        </w:tc>
        <w:tc>
          <w:tcPr>
            <w:tcW w:w="326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∑（样本数*对应分值*权重）/（样本总数*100）*100%</w:t>
            </w:r>
          </w:p>
        </w:tc>
        <w:tc>
          <w:tcPr>
            <w:tcW w:w="99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213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  <w:t>≥90%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22" w:name="bookmark3"/>
      <w:bookmarkEnd w:id="22"/>
      <w:bookmarkStart w:id="23" w:name="_Toc11995"/>
      <w:bookmarkStart w:id="24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23"/>
      <w:bookmarkEnd w:id="24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本制度最终解释权和修订权归质量部。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bookmark14"/>
      <w:bookmarkEnd w:id="25"/>
      <w:bookmarkStart w:id="26" w:name="_Toc15327"/>
      <w:r>
        <w:rPr>
          <w:rFonts w:hint="eastAsia"/>
          <w:lang w:val="en-US" w:eastAsia="zh-CN"/>
        </w:rPr>
        <w:t>附件</w:t>
      </w:r>
      <w:bookmarkEnd w:id="2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《客户满意度调查表》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《年度客户沟通计划》（模板）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《客户沟通记录表》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10205"/>
      <w:r>
        <w:rPr>
          <w:rFonts w:hint="eastAsia"/>
          <w:lang w:val="en-US" w:eastAsia="zh-CN"/>
        </w:rPr>
        <w:t>记录</w:t>
      </w:r>
      <w:bookmarkEnd w:id="2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《客户满意度调查表》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《客户满意度分析报告》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《年度客户沟通计划》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《客户沟通记录》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《客户沟通分析报告》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所有记录由客服管理部及相关执行部门保存，定期移交质量部统一归档，保存期限不少于3年。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8837AC"/>
    <w:multiLevelType w:val="singleLevel"/>
    <w:tmpl w:val="B28837A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3B8755F"/>
    <w:multiLevelType w:val="singleLevel"/>
    <w:tmpl w:val="C3B8755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F641A9F"/>
    <w:multiLevelType w:val="singleLevel"/>
    <w:tmpl w:val="DF641A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F132AB3"/>
    <w:multiLevelType w:val="singleLevel"/>
    <w:tmpl w:val="6F132A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1315</Words>
  <Characters>1484</Characters>
  <Application>Microsoft Office Word</Application>
  <DocSecurity>0</DocSecurity>
  <Lines>0</Lines>
  <Paragraphs>0</Paragraphs>
  <ScaleCrop>false</ScaleCrop>
  <Company/>
  <LinksUpToDate>false</LinksUpToDate>
  <CharactersWithSpaces>1541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2026-05-24T16:09:05Z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