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557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842"/>
      <w:r>
        <w:rPr>
          <w:rFonts w:hint="eastAsia"/>
          <w:lang w:val="en-US" w:eastAsia="zh-CN"/>
        </w:rPr>
        <w:t>运维服务管评管理制度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文件编号：ZGS-04-07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" w:name="_GoBack"/>
            <w:bookmarkEnd w:id="2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1"/>
              <w:szCs w:val="21"/>
            </w:rPr>
          </w:pPr>
          <w:r>
            <w:rPr>
              <w:rFonts w:ascii="宋体" w:eastAsia="宋体" w:hAnsi="宋体" w:cs="宋体" w:hint="eastAsia"/>
              <w:sz w:val="21"/>
              <w:szCs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1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 w:val="21"/>
              <w:szCs w:val="21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1"/>
              <w:szCs w:val="21"/>
            </w:rPr>
            <w:fldChar w:fldCharType="separate"/>
          </w: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_Toc30557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_Toc30557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_Toc2842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运维服务管评管理制度</w:t>
          </w:r>
          <w:r>
            <w:tab/>
          </w:r>
          <w:r>
            <w:fldChar w:fldCharType="begin"/>
          </w:r>
          <w:r>
            <w:instrText xml:space="preserve"> PAGEREF _Toc2842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_Toc22408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_Toc22408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_Toc4092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_Toc4092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_Toc12113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_Toc12113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_Toc20848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_Toc20848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_Toc7210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_Toc7210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_Toc21607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1.4.1. 管理者代表</w:t>
          </w:r>
          <w:r>
            <w:tab/>
          </w:r>
          <w:r>
            <w:fldChar w:fldCharType="begin"/>
          </w:r>
          <w:r>
            <w:instrText xml:space="preserve"> PAGEREF _Toc21607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_Toc8032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1.4.2. 数据部</w:t>
          </w:r>
          <w:r>
            <w:tab/>
          </w:r>
          <w:r>
            <w:fldChar w:fldCharType="begin"/>
          </w:r>
          <w:r>
            <w:instrText xml:space="preserve"> PAGEREF _Toc8032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_Toc27796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1.4.3. 各相关部门</w:t>
          </w:r>
          <w:r>
            <w:tab/>
          </w:r>
          <w:r>
            <w:fldChar w:fldCharType="begin"/>
          </w:r>
          <w:r>
            <w:instrText xml:space="preserve"> PAGEREF _Toc27796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_Toc7950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_Toc3090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_Toc32673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管理评审</w:t>
          </w:r>
          <w:r>
            <w:tab/>
          </w:r>
          <w:r>
            <w:fldChar w:fldCharType="begin"/>
          </w:r>
          <w:r>
            <w:instrText xml:space="preserve"> PAGEREF _Toc32673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_Toc23888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适宜性</w:t>
          </w:r>
          <w:r>
            <w:tab/>
          </w:r>
          <w:r>
            <w:fldChar w:fldCharType="begin"/>
          </w:r>
          <w:r>
            <w:instrText xml:space="preserve"> PAGEREF _Toc23888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_Toc8866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充分性</w:t>
          </w:r>
          <w:r>
            <w:tab/>
          </w:r>
          <w:r>
            <w:fldChar w:fldCharType="begin"/>
          </w:r>
          <w:r>
            <w:instrText xml:space="preserve"> PAGEREF _Toc8866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_Toc24895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有效性</w:t>
          </w:r>
          <w:r>
            <w:tab/>
          </w:r>
          <w:r>
            <w:fldChar w:fldCharType="begin"/>
          </w:r>
          <w:r>
            <w:instrText xml:space="preserve"> PAGEREF _Toc24895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_Toc15515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_Toc15515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_Toc23579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评审频次与时机</w:t>
          </w:r>
          <w:r>
            <w:tab/>
          </w:r>
          <w:r>
            <w:fldChar w:fldCharType="begin"/>
          </w:r>
          <w:r>
            <w:instrText xml:space="preserve"> PAGEREF _Toc23579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_Toc17233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评审策划</w:t>
          </w:r>
          <w:r>
            <w:tab/>
          </w:r>
          <w:r>
            <w:fldChar w:fldCharType="begin"/>
          </w:r>
          <w:r>
            <w:instrText xml:space="preserve"> PAGEREF _Toc17233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_Toc27967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4.2.1. 评审计划制定</w:t>
          </w:r>
          <w:r>
            <w:tab/>
          </w:r>
          <w:r>
            <w:fldChar w:fldCharType="begin"/>
          </w:r>
          <w:r>
            <w:instrText xml:space="preserve"> PAGEREF _Toc27967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_Toc32429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4.2.2. 评审准备</w:t>
          </w:r>
          <w:r>
            <w:tab/>
          </w:r>
          <w:r>
            <w:fldChar w:fldCharType="begin"/>
          </w:r>
          <w:r>
            <w:instrText xml:space="preserve"> PAGEREF _Toc32429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_Toc21228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评审实施</w:t>
          </w:r>
          <w:r>
            <w:tab/>
          </w:r>
          <w:r>
            <w:fldChar w:fldCharType="begin"/>
          </w:r>
          <w:r>
            <w:instrText xml:space="preserve"> PAGEREF _Toc21228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_Toc23046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4.3.1. 评审输入</w:t>
          </w:r>
          <w:r>
            <w:tab/>
          </w:r>
          <w:r>
            <w:fldChar w:fldCharType="begin"/>
          </w:r>
          <w:r>
            <w:instrText xml:space="preserve"> PAGEREF _Toc23046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_Toc8422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4.3.2. 评审会议</w:t>
          </w:r>
          <w:r>
            <w:tab/>
          </w:r>
          <w:r>
            <w:fldChar w:fldCharType="begin"/>
          </w:r>
          <w:r>
            <w:instrText xml:space="preserve"> PAGEREF _Toc8422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_Toc16558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评审输出</w:t>
          </w:r>
          <w:r>
            <w:tab/>
          </w:r>
          <w:r>
            <w:fldChar w:fldCharType="begin"/>
          </w:r>
          <w:r>
            <w:instrText xml:space="preserve"> PAGEREF _Toc16558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_Toc10576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4.4.1. 评审结论</w:t>
          </w:r>
          <w:r>
            <w:tab/>
          </w:r>
          <w:r>
            <w:fldChar w:fldCharType="begin"/>
          </w:r>
          <w:r>
            <w:instrText xml:space="preserve"> PAGEREF _Toc10576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_Toc26604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4.4.2. 评审报告</w:t>
          </w:r>
          <w:r>
            <w:tab/>
          </w:r>
          <w:r>
            <w:fldChar w:fldCharType="begin"/>
          </w:r>
          <w:r>
            <w:instrText xml:space="preserve"> PAGEREF _Toc26604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_Toc4412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改进措施跟踪</w:t>
          </w:r>
          <w:r>
            <w:tab/>
          </w:r>
          <w:r>
            <w:fldChar w:fldCharType="begin"/>
          </w:r>
          <w:r>
            <w:instrText xml:space="preserve"> PAGEREF _Toc4412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_Toc14800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4.5.1. 措施实施</w:t>
          </w:r>
          <w:r>
            <w:tab/>
          </w:r>
          <w:r>
            <w:fldChar w:fldCharType="begin"/>
          </w:r>
          <w:r>
            <w:instrText xml:space="preserve"> PAGEREF _Toc14800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_Toc5819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4.5.2. 效果验证</w:t>
          </w:r>
          <w:r>
            <w:tab/>
          </w:r>
          <w:r>
            <w:fldChar w:fldCharType="begin"/>
          </w:r>
          <w:r>
            <w:instrText xml:space="preserve"> PAGEREF _Toc5819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_Toc28537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4.6.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_Toc28537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_Toc31861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_Toc31861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_Toc7882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_Toc7882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1"/>
            </w:rPr>
            <w:fldChar w:fldCharType="begin"/>
          </w:r>
          <w:r>
            <w:rPr>
              <w:rFonts w:ascii="宋体" w:eastAsia="宋体" w:hAnsi="宋体" w:cs="宋体" w:hint="eastAsia"/>
              <w:szCs w:val="21"/>
            </w:rPr>
            <w:instrText xml:space="preserve"> HYPERLINK \l _Toc28443 </w:instrText>
          </w:r>
          <w:r>
            <w:rPr>
              <w:rFonts w:ascii="宋体" w:eastAsia="宋体" w:hAnsi="宋体" w:cs="宋体" w:hint="eastAsia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_Toc28443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1"/>
            </w:rPr>
            <w:fldChar w:fldCharType="end"/>
          </w:r>
        </w:p>
      </w:sdtContent>
    </w:sdt>
    <w:p>
      <w:r>
        <w:rPr>
          <w:rFonts w:hint="eastAsia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22408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4092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为建立系统化的管理评审机制，定期评价公司运维服务管理体系的适宜性、充分性和有效性，识别体系改进机会，确保服务方针和服务目标的实现，推动管理体系持续改进，特制定本制度。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211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本制度适用于公司管理层对运维服务管理体系的评审活动，包括质量方针、质量目标及体系运行效果的评审。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0848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战略导向：确保管理体系与公司战略目标保持一致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数据驱动：基于客观证据和数据分析进行决策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持续改进：注重识别改进机会，推动体系不断完善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全员参与：各相关部门共同参与评审过程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7210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21607"/>
      <w:r>
        <w:rPr>
          <w:rFonts w:hint="default"/>
          <w:lang w:val="en-US" w:eastAsia="zh-CN"/>
        </w:rPr>
        <w:t>管理者代表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负责审批管理评审计划，主持评审会议，批准管理评审报告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8032"/>
      <w:r>
        <w:rPr>
          <w:rFonts w:hint="default"/>
          <w:lang w:val="en-US" w:eastAsia="zh-CN"/>
        </w:rPr>
        <w:t>质量部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作为管理评审归口部门，负责组织评审活动，准备评审资料，编制评审报告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7796"/>
      <w:r>
        <w:rPr>
          <w:rFonts w:hint="default"/>
          <w:lang w:val="en-US" w:eastAsia="zh-CN"/>
        </w:rPr>
        <w:t>各相关部门</w:t>
      </w:r>
      <w:bookmarkEnd w:id="1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负责准备本部门体系运行情况报告，参与评审会议，落实改进措施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7950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3090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32673"/>
      <w:r>
        <w:rPr>
          <w:rFonts w:hint="eastAsia"/>
        </w:rPr>
        <w:t>管理评审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由最高管理者就质量方针和目标，对体系的适宜性、充分性和有效性进行的正式评价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3888"/>
      <w:r>
        <w:rPr>
          <w:rFonts w:hint="eastAsia"/>
        </w:rPr>
        <w:t>适宜性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管理体系与组织环境、战略方向的匹配程度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8866"/>
      <w:r>
        <w:rPr>
          <w:rFonts w:hint="eastAsia"/>
        </w:rPr>
        <w:t>充分性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管理体系覆盖所有要求并有效实施的程度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24895"/>
      <w:r>
        <w:rPr>
          <w:rFonts w:hint="eastAsia"/>
        </w:rPr>
        <w:t>有效性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完成策划活动和达到策划结果的程度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15515"/>
      <w:r>
        <w:rPr>
          <w:rFonts w:hint="eastAsia"/>
          <w:lang w:val="en-US" w:eastAsia="zh-CN"/>
        </w:rPr>
        <w:t>管理内容与要求</w:t>
      </w:r>
      <w:bookmarkEnd w:id="1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3579"/>
      <w:r>
        <w:rPr>
          <w:rFonts w:hint="default"/>
          <w:lang w:val="en-US" w:eastAsia="zh-CN"/>
        </w:rPr>
        <w:t>评审频次与时机</w:t>
      </w:r>
      <w:bookmarkEnd w:id="1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常规管理评审每年至少进行一次，间隔不超过12个月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在下列情况下应增加临时管理评审：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组织机构发生重大调整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管理体系发生重大变化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发生重大质量事故或客户重大投诉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外部环境发生重大变化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认证审核前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17233"/>
      <w:r>
        <w:rPr>
          <w:rFonts w:hint="default"/>
          <w:lang w:val="en-US" w:eastAsia="zh-CN"/>
        </w:rPr>
        <w:t>评审策划</w:t>
      </w:r>
      <w:bookmarkEnd w:id="19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7967"/>
      <w:r>
        <w:rPr>
          <w:rFonts w:hint="default"/>
          <w:lang w:val="en-US" w:eastAsia="zh-CN"/>
        </w:rPr>
        <w:t>评审计划制定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质量部应于评审前一周左右编制《管理评审计划》，内容包括：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评审目的、范围和时间安排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评审依据和评审重点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参加评审的部门和人员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评审议程和输入资料要求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1" w:name="_Toc32429"/>
      <w:r>
        <w:rPr>
          <w:rFonts w:hint="default"/>
          <w:lang w:val="en-US" w:eastAsia="zh-CN"/>
        </w:rPr>
        <w:t>评审准备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各相关部门根据评审计划准备相应输入资料：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运维部：服务交付情况、KPI达成情况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服务台专员</w:t>
      </w:r>
      <w:r>
        <w:rPr>
          <w:rFonts w:hint="default"/>
          <w:lang w:val="en-US" w:eastAsia="zh-CN"/>
        </w:rPr>
        <w:t>：客户满意度分析、客户投诉处理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质量部：内审结果、纠正预防措施实施情况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人力部：人员能力评估、培训效果分析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21228"/>
      <w:r>
        <w:rPr>
          <w:rFonts w:hint="default"/>
          <w:lang w:val="en-US" w:eastAsia="zh-CN"/>
        </w:rPr>
        <w:t>评审实施</w:t>
      </w:r>
      <w:bookmarkEnd w:id="22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23046"/>
      <w:r>
        <w:rPr>
          <w:rFonts w:hint="default"/>
          <w:lang w:val="en-US" w:eastAsia="zh-CN"/>
        </w:rPr>
        <w:t>评审输入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管理评审输入应包括以下内容：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以往管理评审跟踪措施的实施情况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内外部审核结果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客户反馈分析（满意度、投诉、建议）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服务过程绩效和KPI达成情况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纠正和预防措施状况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可能影响管理体系的各种变更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改进建议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_Toc8422"/>
      <w:r>
        <w:rPr>
          <w:rFonts w:hint="default"/>
          <w:lang w:val="en-US" w:eastAsia="zh-CN"/>
        </w:rPr>
        <w:t>评审会议</w:t>
      </w:r>
      <w:bookmarkEnd w:id="2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会议由管理者代表主持，议程包括：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汇报体系运行总体情况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各部门报告分管领域运行状况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讨论体系适宜性、充分性和有效性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评价改进机会和变更需求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形成评审结论和改进决定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_Toc16558"/>
      <w:r>
        <w:rPr>
          <w:rFonts w:hint="default"/>
          <w:lang w:val="en-US" w:eastAsia="zh-CN"/>
        </w:rPr>
        <w:t>评审输出</w:t>
      </w:r>
      <w:bookmarkEnd w:id="25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6" w:name="_Toc10576"/>
      <w:r>
        <w:rPr>
          <w:rFonts w:hint="default"/>
          <w:lang w:val="en-US" w:eastAsia="zh-CN"/>
        </w:rPr>
        <w:t>评审结论</w:t>
      </w:r>
      <w:bookmarkEnd w:id="2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管理评审输出应包括：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体系适宜性、充分性和有效性的总体评价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服务方针和目标变更决定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体系文件修改需求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资源调配决定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改进项目和措施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7" w:name="_Toc26604"/>
      <w:r>
        <w:rPr>
          <w:rFonts w:hint="default"/>
          <w:lang w:val="en-US" w:eastAsia="zh-CN"/>
        </w:rPr>
        <w:t>评审报告</w:t>
      </w:r>
      <w:bookmarkEnd w:id="2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质量部在评审后5个工作日内编制《管理评审报告》，内容包括：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评审概况和参会人员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评审输入内容摘要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评审讨论和结论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改进决定和措施要求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资源需求和建议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8" w:name="_Toc4412"/>
      <w:r>
        <w:rPr>
          <w:rFonts w:hint="default"/>
          <w:lang w:val="en-US" w:eastAsia="zh-CN"/>
        </w:rPr>
        <w:t>改进措施跟踪</w:t>
      </w:r>
      <w:bookmarkEnd w:id="28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9" w:name="_Toc14800"/>
      <w:r>
        <w:rPr>
          <w:rFonts w:hint="default"/>
          <w:lang w:val="en-US" w:eastAsia="zh-CN"/>
        </w:rPr>
        <w:t>措施实施</w:t>
      </w:r>
      <w:bookmarkEnd w:id="2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各相关部门根据评审决定：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制定具体的改进措施计划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明确责任人和完成时限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配置必要资源确保实施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0" w:name="_Toc5819"/>
      <w:r>
        <w:rPr>
          <w:rFonts w:hint="default"/>
          <w:lang w:val="en-US" w:eastAsia="zh-CN"/>
        </w:rPr>
        <w:t>效果验证</w:t>
      </w:r>
      <w:bookmarkEnd w:id="3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质量部负责：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跟踪改进措施实施进度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验证措施实施效果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1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将验证结果纳入下次管理评审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28537"/>
      <w:r>
        <w:rPr>
          <w:rFonts w:hint="eastAsia"/>
          <w:lang w:val="en-US" w:eastAsia="zh-CN"/>
        </w:rPr>
        <w:t>考核指标</w:t>
      </w:r>
      <w:bookmarkEnd w:id="31"/>
    </w:p>
    <w:tbl>
      <w:tblPr>
        <w:tblStyle w:val="TableGrid"/>
        <w:tblW w:w="8522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265"/>
        <w:gridCol w:w="996"/>
        <w:gridCol w:w="2131"/>
      </w:tblGrid>
      <w:tr>
        <w:tblPrEx>
          <w:tblW w:w="8522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指标名称</w:t>
            </w:r>
          </w:p>
        </w:tc>
        <w:tc>
          <w:tcPr>
            <w:tcW w:w="3265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计算方式</w:t>
            </w:r>
          </w:p>
        </w:tc>
        <w:tc>
          <w:tcPr>
            <w:tcW w:w="996" w:type="dxa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频次</w:t>
            </w:r>
          </w:p>
        </w:tc>
        <w:tc>
          <w:tcPr>
            <w:tcW w:w="2131" w:type="dxa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目标值</w:t>
            </w:r>
          </w:p>
        </w:tc>
      </w:tr>
      <w:tr>
        <w:tblPrEx>
          <w:tblW w:w="8522" w:type="dxa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管评次数</w:t>
            </w:r>
          </w:p>
        </w:tc>
        <w:tc>
          <w:tcPr>
            <w:tcW w:w="3265" w:type="dxa"/>
            <w:shd w:val="clear" w:color="auto" w:fill="auto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数量，管评报告数量</w:t>
            </w:r>
          </w:p>
        </w:tc>
        <w:tc>
          <w:tcPr>
            <w:tcW w:w="996" w:type="dxa"/>
            <w:shd w:val="clear" w:color="auto" w:fill="auto"/>
          </w:tcPr>
          <w:p>
            <w:pPr>
              <w:pStyle w:val="a1"/>
              <w:widowControl w:val="0"/>
              <w:ind w:left="0" w:firstLine="0" w:leftChars="0" w:firstLineChars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年度</w:t>
            </w:r>
          </w:p>
        </w:tc>
        <w:tc>
          <w:tcPr>
            <w:tcW w:w="2131" w:type="dxa"/>
            <w:shd w:val="clear" w:color="auto" w:fill="auto"/>
          </w:tcPr>
          <w:p>
            <w:pPr>
              <w:pStyle w:val="a1"/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≥1次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2" w:name="bookmark3"/>
      <w:bookmarkEnd w:id="32"/>
      <w:bookmarkStart w:id="33" w:name="_Toc31861"/>
      <w:bookmarkStart w:id="34" w:name="_Toc17424"/>
      <w:r>
        <w:rPr>
          <w:rStyle w:val="1Char"/>
          <w:rFonts w:eastAsia="宋体" w:hint="eastAsia"/>
          <w:lang w:val="en-US" w:eastAsia="zh-CN"/>
        </w:rPr>
        <w:t>附则</w:t>
      </w:r>
      <w:bookmarkEnd w:id="33"/>
      <w:bookmarkEnd w:id="34"/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本制度最终解释权和修订权归质量部。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5" w:name="bookmark14"/>
      <w:bookmarkEnd w:id="35"/>
      <w:bookmarkStart w:id="36" w:name="_Toc7882"/>
      <w:r>
        <w:rPr>
          <w:rFonts w:hint="eastAsia"/>
          <w:lang w:val="en-US" w:eastAsia="zh-CN"/>
        </w:rPr>
        <w:t>附件</w:t>
      </w:r>
      <w:bookmarkEnd w:id="3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7" w:name="_Toc28443"/>
      <w:r>
        <w:rPr>
          <w:rFonts w:hint="eastAsia"/>
          <w:lang w:val="en-US" w:eastAsia="zh-CN"/>
        </w:rPr>
        <w:t>记录</w:t>
      </w:r>
      <w:bookmarkEnd w:id="3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  <w:tab/>
      <w:t>重庆市鹧鸪哨信息技术有限责任公司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7420DC9"/>
    <w:multiLevelType w:val="singleLevel"/>
    <w:tmpl w:val="A7420DC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0E542CB"/>
    <w:multiLevelType w:val="singleLevel"/>
    <w:tmpl w:val="B0E542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6E7A118"/>
    <w:multiLevelType w:val="singleLevel"/>
    <w:tmpl w:val="D6E7A11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DBE06B1F"/>
    <w:multiLevelType w:val="singleLevel"/>
    <w:tmpl w:val="DBE06B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E779186"/>
    <w:multiLevelType w:val="singleLevel"/>
    <w:tmpl w:val="DE77918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3877C3D"/>
    <w:multiLevelType w:val="singleLevel"/>
    <w:tmpl w:val="E3877C3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402564E"/>
    <w:multiLevelType w:val="singleLevel"/>
    <w:tmpl w:val="E402564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EB858D5"/>
    <w:multiLevelType w:val="singleLevel"/>
    <w:tmpl w:val="EEB858D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F540AA58"/>
    <w:multiLevelType w:val="singleLevel"/>
    <w:tmpl w:val="F540AA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0F7A6E78"/>
    <w:multiLevelType w:val="singleLevel"/>
    <w:tmpl w:val="0F7A6E7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2C3C5CA8"/>
    <w:multiLevelType w:val="singleLevel"/>
    <w:tmpl w:val="2C3C5CA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2"/>
  </w:num>
  <w:num w:numId="3">
    <w:abstractNumId w:val="9"/>
  </w:num>
  <w:num w:numId="4">
    <w:abstractNumId w:val="7"/>
  </w:num>
  <w:num w:numId="5">
    <w:abstractNumId w:val="11"/>
  </w:num>
  <w:num w:numId="6">
    <w:abstractNumId w:val="5"/>
  </w:num>
  <w:num w:numId="7">
    <w:abstractNumId w:val="8"/>
  </w:num>
  <w:num w:numId="8">
    <w:abstractNumId w:val="1"/>
  </w:num>
  <w:num w:numId="9">
    <w:abstractNumId w:val="3"/>
  </w:num>
  <w:num w:numId="10">
    <w:abstractNumId w:val="2"/>
  </w:num>
  <w:num w:numId="11">
    <w:abstractNumId w:val="6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3.xml" /><Relationship Id="rId11" Type="http://schemas.openxmlformats.org/officeDocument/2006/relationships/footer" Target="footer3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header" Target="header2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1597</Words>
  <Characters>1814</Characters>
  <Application>Microsoft Office Word</Application>
  <DocSecurity>0</DocSecurity>
  <Lines>0</Lines>
  <Paragraphs>0</Paragraphs>
  <ScaleCrop>false</ScaleCrop>
  <Company/>
  <LinksUpToDate>false</LinksUpToDate>
  <CharactersWithSpaces>1963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2026-05-24T16:09:22Z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