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6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603"/>
      <w:r>
        <w:rPr>
          <w:rFonts w:hint="eastAsia"/>
          <w:lang w:val="en-US" w:eastAsia="zh-CN"/>
        </w:rPr>
        <w:t>2025年度运维服务质量管理内审计划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文件编号：ZGS-04-11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_Toc2269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运维服务质量管理内审计划</w:t>
          </w:r>
          <w:r>
            <w:tab/>
          </w:r>
          <w:r>
            <w:fldChar w:fldCharType="begin"/>
          </w:r>
          <w:r>
            <w:instrText xml:space="preserve"> PAGEREF _Toc12603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_Toc25201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_Toc11683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1.3.1. 数据部</w:t>
          </w:r>
          <w:r>
            <w:tab/>
          </w:r>
          <w:r>
            <w:fldChar w:fldCharType="begin"/>
          </w:r>
          <w:r>
            <w:instrText xml:space="preserve"> PAGEREF _Toc23849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1.3.2. </w:t>
          </w:r>
          <w:r>
            <w:rPr>
              <w:rFonts w:hint="eastAsia"/>
              <w:lang w:val="en-US" w:eastAsia="zh-CN"/>
            </w:rPr>
            <w:t>数据部经理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1.3.3. 内审员</w:t>
          </w:r>
          <w:r>
            <w:tab/>
          </w:r>
          <w:r>
            <w:fldChar w:fldCharType="begin"/>
          </w:r>
          <w:r>
            <w:instrText xml:space="preserve"> PAGEREF _Toc5660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1.3.4. </w:t>
          </w:r>
          <w:r>
            <w:rPr>
              <w:rFonts w:hint="eastAsia"/>
              <w:lang w:val="en-US" w:eastAsia="zh-CN"/>
            </w:rPr>
            <w:t>各运维相关部门</w:t>
          </w:r>
          <w:r>
            <w:tab/>
          </w:r>
          <w:r>
            <w:fldChar w:fldCharType="begin"/>
          </w:r>
          <w:r>
            <w:instrText xml:space="preserve"> PAGEREF _Toc1574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_Toc21561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_Toc13662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内部审核</w:t>
          </w:r>
          <w:r>
            <w:tab/>
          </w:r>
          <w:r>
            <w:fldChar w:fldCharType="begin"/>
          </w:r>
          <w:r>
            <w:instrText xml:space="preserve"> PAGEREF _Toc32260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不符合项</w:t>
          </w:r>
          <w:r>
            <w:tab/>
          </w:r>
          <w:r>
            <w:fldChar w:fldCharType="begin"/>
          </w:r>
          <w:r>
            <w:instrText xml:space="preserve"> PAGEREF _Toc13630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_Toc7100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_Toc7100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审核基本信息</w:t>
          </w:r>
          <w:r>
            <w:tab/>
          </w:r>
          <w:r>
            <w:fldChar w:fldCharType="begin"/>
          </w:r>
          <w:r>
            <w:instrText xml:space="preserve"> PAGEREF _Toc17583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审核组成员</w:t>
          </w:r>
          <w:r>
            <w:tab/>
          </w:r>
          <w:r>
            <w:fldChar w:fldCharType="begin"/>
          </w:r>
          <w:r>
            <w:instrText xml:space="preserve"> PAGEREF _Toc29118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审核日程进度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5201"/>
      <w:r>
        <w:rPr>
          <w:rFonts w:hint="eastAsia"/>
          <w:lang w:val="en-US" w:eastAsia="zh-CN"/>
        </w:rPr>
        <w:t>总则</w:t>
      </w:r>
      <w:bookmarkEnd w:id="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047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为验证公司运维工作的规范性、准确性及在实际场景中的应用效果，确保其符合公司既定的服务标准与沟通规范，并能有效支撑运维服务质量的统一交付与客户体验的提升，特制定本年度内部审核计划。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7631"/>
      <w:r>
        <w:rPr>
          <w:rFonts w:hint="eastAsia"/>
          <w:lang w:val="en-US" w:eastAsia="zh-CN"/>
        </w:rPr>
        <w:t>适用范围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本计划适用于公司所有运维服务过程及项目所涉及的质量管理活动，涵盖活动范围、内容、管理机制及相关支持活动。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1683"/>
      <w:r>
        <w:rPr>
          <w:rFonts w:hint="eastAsia"/>
          <w:lang w:val="en-US" w:eastAsia="zh-CN"/>
        </w:rPr>
        <w:t>岗位职责</w:t>
      </w:r>
      <w:bookmarkEnd w:id="5"/>
    </w:p>
    <w:p>
      <w:pPr>
        <w:pStyle w:val="3"/>
        <w:bidi w:val="0"/>
        <w:rPr>
          <w:rFonts w:hint="default"/>
          <w:lang w:val="en-US" w:eastAsia="zh-CN"/>
        </w:rPr>
      </w:pPr>
      <w:bookmarkStart w:id="6" w:name="_Toc23849"/>
      <w:r>
        <w:rPr>
          <w:rFonts w:hint="default"/>
          <w:lang w:val="en-US" w:eastAsia="zh-CN"/>
        </w:rPr>
        <w:t>质量部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负责本计划的制定、组织与协调；负责组织审核组，任命审核组长。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7" w:name="_Toc19473"/>
      <w:r>
        <w:rPr>
          <w:rFonts w:hint="eastAsia"/>
          <w:lang w:val="en-US" w:eastAsia="zh-CN"/>
        </w:rPr>
        <w:t>质量部经理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负责编制《内部审核检查表》，组织实施现场审核，编写《内部审核报告》</w:t>
      </w:r>
      <w:bookmarkStart w:id="8" w:name="_GoBack"/>
      <w:bookmarkEnd w:id="8"/>
    </w:p>
    <w:p>
      <w:pPr>
        <w:pStyle w:val="3"/>
        <w:bidi w:val="0"/>
        <w:rPr>
          <w:rFonts w:hint="default"/>
          <w:lang w:val="en-US" w:eastAsia="zh-CN"/>
        </w:rPr>
      </w:pPr>
      <w:bookmarkStart w:id="9" w:name="_Toc5660"/>
      <w:r>
        <w:rPr>
          <w:rFonts w:hint="default"/>
          <w:lang w:val="en-US" w:eastAsia="zh-CN"/>
        </w:rPr>
        <w:t>内审员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依据计划分工，完成指定的审核任务，报告审核发现。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1574"/>
      <w:r>
        <w:rPr>
          <w:rFonts w:hint="eastAsia"/>
          <w:lang w:val="en-US" w:eastAsia="zh-CN"/>
        </w:rPr>
        <w:t>各运维相关部门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部门负责人应确保资源提供，指派陪同人员，并对审核发现的不符合项实施纠正措施。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1561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公司现行的运维服务管理体系文件（如：服务目录、服务级别协议、流程制度等）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3662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</w:rPr>
      </w:pPr>
      <w:bookmarkStart w:id="13" w:name="_Toc32260"/>
      <w:r>
        <w:rPr>
          <w:rFonts w:hint="eastAsia"/>
        </w:rPr>
        <w:t>内部审核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为获得审核证据并对其进行客观的评价，以确定满足审核准则的程度所进行的系统的、独立的并形成文件的过程。</w:t>
      </w:r>
    </w:p>
    <w:p>
      <w:pPr>
        <w:pStyle w:val="2"/>
        <w:bidi w:val="0"/>
        <w:rPr>
          <w:rFonts w:hint="eastAsia"/>
        </w:rPr>
      </w:pPr>
      <w:bookmarkStart w:id="14" w:name="_Toc13630"/>
      <w:r>
        <w:rPr>
          <w:rFonts w:hint="eastAsia"/>
        </w:rPr>
        <w:t>不符合项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未满足审核准则的要求。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7100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17583"/>
      <w:r>
        <w:rPr>
          <w:rFonts w:hint="eastAsia"/>
          <w:lang w:val="en-US" w:eastAsia="zh-CN"/>
        </w:rPr>
        <w:t>审核基本信息</w:t>
      </w:r>
      <w:bookmarkEnd w:id="1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时间安排：2025.12.15-2025.12.16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首次会议：2025.12.15 9:30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末次会议：2025.12.16 17:30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29118"/>
      <w:r>
        <w:rPr>
          <w:rFonts w:hint="eastAsia"/>
          <w:lang w:val="en-US" w:eastAsia="zh-CN"/>
        </w:rPr>
        <w:t>审核组成员</w:t>
      </w:r>
      <w:bookmarkEnd w:id="1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审核组由组长和组员构成，组长由管代担任，运维部经理（A）、研发部经理（B）、人力部经理（C）、质量部经理（D）担任组员。审核组信息如表4-1所示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审核组信息表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646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/>
          <w:jc w:val="center"/>
        </w:trPr>
        <w:tc>
          <w:tcPr>
            <w:tcW w:w="10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组长</w:t>
            </w:r>
          </w:p>
        </w:tc>
        <w:tc>
          <w:tcPr>
            <w:tcW w:w="646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刘长凡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/>
          <w:jc w:val="center"/>
        </w:trPr>
        <w:tc>
          <w:tcPr>
            <w:tcW w:w="104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组员</w:t>
            </w:r>
          </w:p>
        </w:tc>
        <w:tc>
          <w:tcPr>
            <w:tcW w:w="646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宋海滨、刘霞、李文琼、刘长凡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8" w:name="_Toc31563"/>
      <w:r>
        <w:rPr>
          <w:rFonts w:hint="eastAsia"/>
          <w:lang w:val="en-US" w:eastAsia="zh-CN"/>
        </w:rPr>
        <w:t>审核日程进度</w:t>
      </w:r>
      <w:bookmarkEnd w:id="18"/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STYLEREF "柴_标题1" \n \* Charformat</w:instrText>
      </w:r>
    </w:p>
    <w:p>
      <w:pPr>
        <w:pStyle w:val="a1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default"/>
          <w:lang w:val="en-US" w:eastAsia="zh-CN"/>
        </w:rPr>
        <w:instrText xml:space="preserve">  SEQ 图表 \* ARABIC  \s 1</w:instrTex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内审日程进度表</w:t>
      </w:r>
    </w:p>
    <w:tbl>
      <w:tblPr>
        <w:tblStyle w:val="TableNormal0"/>
        <w:tblW w:w="96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1749"/>
        <w:gridCol w:w="1734"/>
        <w:gridCol w:w="3788"/>
        <w:gridCol w:w="1442"/>
      </w:tblGrid>
      <w:tr>
        <w:tblPrEx>
          <w:tblW w:w="967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/>
        </w:trPr>
        <w:tc>
          <w:tcPr>
            <w:tcW w:w="966" w:type="dxa"/>
          </w:tcPr>
          <w:p>
            <w:pPr>
              <w:pStyle w:val="TableText"/>
              <w:spacing w:before="209" w:line="228" w:lineRule="auto"/>
              <w:jc w:val="center"/>
            </w:pPr>
            <w:r>
              <w:rPr>
                <w:spacing w:val="-14"/>
              </w:rPr>
              <w:t>日期</w:t>
            </w:r>
          </w:p>
        </w:tc>
        <w:tc>
          <w:tcPr>
            <w:tcW w:w="1749" w:type="dxa"/>
            <w:vAlign w:val="center"/>
          </w:tcPr>
          <w:p>
            <w:pPr>
              <w:pStyle w:val="TableText"/>
              <w:spacing w:before="208" w:line="230" w:lineRule="auto"/>
              <w:jc w:val="center"/>
            </w:pPr>
            <w:r>
              <w:rPr>
                <w:spacing w:val="-5"/>
              </w:rPr>
              <w:t>时间</w:t>
            </w:r>
          </w:p>
        </w:tc>
        <w:tc>
          <w:tcPr>
            <w:tcW w:w="5522" w:type="dxa"/>
            <w:gridSpan w:val="2"/>
          </w:tcPr>
          <w:p>
            <w:pPr>
              <w:pStyle w:val="TableText"/>
              <w:spacing w:before="208" w:line="228" w:lineRule="auto"/>
              <w:jc w:val="center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442" w:type="dxa"/>
          </w:tcPr>
          <w:p>
            <w:pPr>
              <w:pStyle w:val="TableText"/>
              <w:spacing w:before="53" w:line="263" w:lineRule="auto"/>
              <w:ind w:right="316"/>
              <w:jc w:val="center"/>
            </w:pPr>
            <w:r>
              <w:rPr>
                <w:spacing w:val="3"/>
              </w:rPr>
              <w:t>审核员分工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15日</w:t>
            </w:r>
          </w:p>
        </w:tc>
        <w:tc>
          <w:tcPr>
            <w:tcW w:w="1749" w:type="dxa"/>
            <w:vAlign w:val="center"/>
          </w:tcPr>
          <w:p>
            <w:pPr>
              <w:pStyle w:val="TableText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522" w:type="dxa"/>
            <w:gridSpan w:val="2"/>
          </w:tcPr>
          <w:p>
            <w:pPr>
              <w:pStyle w:val="TableText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442" w:type="dxa"/>
          </w:tcPr>
          <w:p>
            <w:pPr>
              <w:pStyle w:val="TableText"/>
              <w:spacing w:before="115" w:line="229" w:lineRule="auto"/>
              <w:ind w:left="321"/>
            </w:pPr>
            <w:r>
              <w:t>全体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1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49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734" w:type="dxa"/>
            <w:vAlign w:val="center"/>
          </w:tcPr>
          <w:p>
            <w:pPr>
              <w:pStyle w:val="TableText"/>
              <w:spacing w:before="65" w:line="228" w:lineRule="auto"/>
              <w:ind w:left="410"/>
              <w:rPr>
                <w:spacing w:val="5"/>
              </w:rPr>
            </w:pPr>
            <w:r>
              <w:rPr>
                <w:rFonts w:hint="eastAsia"/>
                <w:spacing w:val="5"/>
                <w:lang w:val="en-US" w:eastAsia="zh-CN"/>
              </w:rPr>
              <w:t>人力部</w:t>
            </w:r>
          </w:p>
          <w:p>
            <w:pPr>
              <w:pStyle w:val="TableText"/>
              <w:spacing w:before="65" w:line="228" w:lineRule="auto"/>
              <w:ind w:left="410"/>
              <w:rPr>
                <w:rFonts w:eastAsia="宋体" w:hint="eastAsia"/>
                <w:spacing w:val="5"/>
                <w:lang w:val="en-US" w:eastAsia="zh-CN"/>
              </w:rPr>
            </w:pPr>
            <w:r>
              <w:rPr>
                <w:rFonts w:hint="eastAsia"/>
                <w:spacing w:val="5"/>
                <w:lang w:val="en-US" w:eastAsia="zh-CN"/>
              </w:rPr>
              <w:t>运维部</w:t>
            </w:r>
          </w:p>
        </w:tc>
        <w:tc>
          <w:tcPr>
            <w:tcW w:w="3788" w:type="dxa"/>
            <w:vAlign w:val="center"/>
          </w:tcPr>
          <w:p>
            <w:pPr>
              <w:pStyle w:val="TableText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4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49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734" w:type="dxa"/>
            <w:vAlign w:val="center"/>
          </w:tcPr>
          <w:p>
            <w:pPr>
              <w:pStyle w:val="TableText"/>
              <w:spacing w:before="65" w:line="289" w:lineRule="auto"/>
              <w:ind w:left="112" w:right="110" w:firstLine="2"/>
              <w:rPr>
                <w:rFonts w:hint="eastAsia"/>
                <w:spacing w:val="1"/>
                <w:lang w:val="en-US" w:eastAsia="zh-CN"/>
              </w:rPr>
            </w:pPr>
            <w:r>
              <w:rPr>
                <w:spacing w:val="1"/>
              </w:rPr>
              <w:t>管理层、质量部</w:t>
            </w:r>
          </w:p>
          <w:p>
            <w:pPr>
              <w:pStyle w:val="TableText"/>
              <w:spacing w:before="65" w:line="289" w:lineRule="auto"/>
              <w:ind w:left="112" w:right="110" w:firstLine="2"/>
              <w:rPr>
                <w:rFonts w:hint="default"/>
                <w:spacing w:val="1"/>
                <w:lang w:val="en-US" w:eastAsia="zh-CN"/>
              </w:rPr>
            </w:pPr>
            <w:r>
              <w:rPr>
                <w:rFonts w:hint="eastAsia"/>
                <w:spacing w:val="1"/>
                <w:lang w:val="en-US" w:eastAsia="zh-CN"/>
              </w:rPr>
              <w:t>运维部</w:t>
            </w:r>
          </w:p>
        </w:tc>
        <w:tc>
          <w:tcPr>
            <w:tcW w:w="3788" w:type="dxa"/>
            <w:vAlign w:val="center"/>
          </w:tcPr>
          <w:p>
            <w:pPr>
              <w:pStyle w:val="TableText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>
            <w:pPr>
              <w:pStyle w:val="TableText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5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49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734" w:type="dxa"/>
            <w:vAlign w:val="center"/>
          </w:tcPr>
          <w:p>
            <w:pPr>
              <w:pStyle w:val="TableText"/>
              <w:spacing w:before="65" w:line="228" w:lineRule="auto"/>
              <w:ind w:left="408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研发部</w:t>
            </w:r>
          </w:p>
        </w:tc>
        <w:tc>
          <w:tcPr>
            <w:tcW w:w="3788" w:type="dxa"/>
            <w:vAlign w:val="center"/>
          </w:tcPr>
          <w:p>
            <w:pPr>
              <w:pStyle w:val="TableText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3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/>
        </w:trPr>
        <w:tc>
          <w:tcPr>
            <w:tcW w:w="966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  <w:p>
            <w:pPr>
              <w:pStyle w:val="TableText"/>
              <w:spacing w:before="65" w:line="290" w:lineRule="auto"/>
              <w:ind w:left="113" w:right="324" w:right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16日</w:t>
            </w:r>
          </w:p>
        </w:tc>
        <w:tc>
          <w:tcPr>
            <w:tcW w:w="1749" w:type="dxa"/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734" w:type="dxa"/>
            <w:vAlign w:val="center"/>
          </w:tcPr>
          <w:p>
            <w:pPr>
              <w:pStyle w:val="TableText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>
            <w:pPr>
              <w:pStyle w:val="TableText"/>
              <w:spacing w:before="65" w:line="228" w:lineRule="auto"/>
              <w:ind w:left="407"/>
              <w:rPr>
                <w:rFonts w:eastAsia="宋体" w:hint="default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采购部</w:t>
            </w:r>
          </w:p>
        </w:tc>
        <w:tc>
          <w:tcPr>
            <w:tcW w:w="3788" w:type="dxa"/>
            <w:vAlign w:val="center"/>
          </w:tcPr>
          <w:p>
            <w:pPr>
              <w:pStyle w:val="TableText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服务台、7.6.</w:t>
            </w:r>
            <w:r>
              <w:rPr>
                <w:rFonts w:hint="eastAsia"/>
                <w:spacing w:val="2"/>
                <w:lang w:val="en-US" w:eastAsia="zh-CN"/>
              </w:rPr>
              <w:t>3 备件库</w:t>
            </w:r>
            <w:r>
              <w:rPr>
                <w:rFonts w:hint="eastAsia"/>
                <w:spacing w:val="2"/>
                <w:lang w:eastAsia="zh-CN"/>
              </w:rPr>
              <w:t>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65" w:line="228" w:lineRule="auto"/>
              <w:ind w:left="325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734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407"/>
              <w:rPr>
                <w:spacing w:val="6"/>
              </w:rPr>
            </w:pPr>
            <w:r>
              <w:rPr>
                <w:spacing w:val="6"/>
              </w:rPr>
              <w:t>运维部</w:t>
            </w:r>
          </w:p>
          <w:p>
            <w:pPr>
              <w:pStyle w:val="TableText"/>
              <w:spacing w:before="65" w:line="228" w:lineRule="auto"/>
              <w:ind w:left="407"/>
              <w:rPr>
                <w:rFonts w:eastAsia="宋体" w:hint="eastAsia"/>
                <w:spacing w:val="6"/>
                <w:lang w:val="en-US" w:eastAsia="zh-CN"/>
              </w:rPr>
            </w:pPr>
            <w:r>
              <w:rPr>
                <w:rFonts w:hint="eastAsia"/>
                <w:spacing w:val="6"/>
                <w:lang w:val="en-US" w:eastAsia="zh-CN"/>
              </w:rPr>
              <w:t>质量部</w:t>
            </w:r>
          </w:p>
        </w:tc>
        <w:tc>
          <w:tcPr>
            <w:tcW w:w="3788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>
            <w:pPr>
              <w:pStyle w:val="TableText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442" w:type="dxa"/>
            <w:tcBorders>
              <w:bottom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324"/>
            </w:pPr>
            <w:r>
              <w:rPr>
                <w:rFonts w:hint="eastAsia"/>
                <w:lang w:val="en-US" w:eastAsia="zh-CN"/>
              </w:rPr>
              <w:t>B</w:t>
            </w: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/>
        </w:trPr>
        <w:tc>
          <w:tcPr>
            <w:tcW w:w="96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>
            <w:pPr>
              <w:pStyle w:val="TableText"/>
              <w:spacing w:before="72"/>
              <w:ind w:left="26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734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ind w:left="407"/>
            </w:pPr>
            <w:r>
              <w:rPr>
                <w:spacing w:val="6"/>
              </w:rPr>
              <w:t>运维部</w:t>
            </w:r>
          </w:p>
        </w:tc>
        <w:tc>
          <w:tcPr>
            <w:tcW w:w="3788" w:type="dxa"/>
            <w:tcBorders>
              <w:top w:val="single" w:sz="4" w:space="0" w:color="auto"/>
            </w:tcBorders>
          </w:tcPr>
          <w:p>
            <w:pPr>
              <w:pStyle w:val="TableText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>
            <w:pPr>
              <w:pStyle w:val="TableText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>
            <w:pPr>
              <w:pStyle w:val="TableText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442" w:type="dxa"/>
            <w:tcBorders>
              <w:top w:val="single" w:sz="4" w:space="0" w:color="auto"/>
            </w:tcBorders>
            <w:vAlign w:val="center"/>
          </w:tcPr>
          <w:p>
            <w:pPr>
              <w:pStyle w:val="TableText"/>
              <w:spacing w:before="65" w:line="22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  <w:p>
            <w:pPr>
              <w:pStyle w:val="TableText"/>
              <w:spacing w:before="65" w:line="228" w:lineRule="auto"/>
            </w:pPr>
          </w:p>
        </w:tc>
      </w:tr>
      <w:tr>
        <w:tblPrEx>
          <w:tblW w:w="9679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/>
        </w:trPr>
        <w:tc>
          <w:tcPr>
            <w:tcW w:w="96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49" w:type="dxa"/>
            <w:vAlign w:val="center"/>
          </w:tcPr>
          <w:p>
            <w:pPr>
              <w:pStyle w:val="TableText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522" w:type="dxa"/>
            <w:gridSpan w:val="2"/>
          </w:tcPr>
          <w:p>
            <w:pPr>
              <w:pStyle w:val="TableText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442" w:type="dxa"/>
            <w:vAlign w:val="center"/>
          </w:tcPr>
          <w:p>
            <w:pPr>
              <w:pStyle w:val="TableText"/>
              <w:spacing w:before="300" w:line="229" w:lineRule="auto"/>
              <w:ind w:left="321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2CB2888"/>
    <w:multiLevelType w:val="singleLevel"/>
    <w:tmpl w:val="D2CB288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1241</Words>
  <Characters>1668</Characters>
  <Application>Microsoft Office Word</Application>
  <DocSecurity>0</DocSecurity>
  <Lines>0</Lines>
  <Paragraphs>0</Paragraphs>
  <ScaleCrop>false</ScaleCrop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2026-06-29T05:48:57Z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