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729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2167"/>
      <w:r>
        <w:rPr>
          <w:rFonts w:hint="eastAsia"/>
          <w:lang w:val="en-US" w:eastAsia="zh-CN"/>
        </w:rPr>
        <w:t>2025年度运维服务质量管理内审报告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文件编号：ZGS-04-14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2025.12.16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_Toc10729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运维服务质量管理内审报告</w:t>
          </w:r>
          <w:r>
            <w:tab/>
          </w:r>
          <w:r>
            <w:fldChar w:fldCharType="begin"/>
          </w:r>
          <w:r>
            <w:instrText xml:space="preserve"> PAGEREF _Toc22167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202</w:t>
          </w:r>
          <w:r>
            <w:rPr>
              <w:rFonts w:ascii="宋体" w:eastAsia="宋体" w:hAnsi="宋体" w:cs="宋体" w:hint="eastAsia"/>
              <w:bCs/>
              <w:spacing w:val="1"/>
              <w:szCs w:val="30"/>
              <w:lang w:val="en-US" w:eastAsia="zh-CN"/>
            </w:rPr>
            <w:t>5</w:t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年运维服务</w:t>
          </w:r>
          <w:r>
            <w:rPr>
              <w:rFonts w:ascii="宋体" w:eastAsia="宋体" w:hAnsi="宋体" w:cs="宋体" w:hint="eastAsia"/>
              <w:bCs/>
              <w:spacing w:val="1"/>
              <w:szCs w:val="30"/>
              <w:lang w:val="en-US" w:eastAsia="zh-CN"/>
            </w:rPr>
            <w:t>质量管理</w:t>
          </w:r>
          <w:r>
            <w:rPr>
              <w:rFonts w:ascii="宋体" w:eastAsia="宋体" w:hAnsi="宋体" w:cs="宋体"/>
              <w:bCs/>
              <w:spacing w:val="1"/>
              <w:szCs w:val="30"/>
            </w:rPr>
            <w:t>内部审核报告</w:t>
          </w:r>
          <w:r>
            <w:tab/>
          </w:r>
          <w:r>
            <w:fldChar w:fldCharType="begin"/>
          </w:r>
          <w:r>
            <w:instrText xml:space="preserve"> PAGEREF _Toc12044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spacing w:before="336" w:line="218" w:lineRule="auto"/>
        <w:ind w:left="0" w:right="0" w:firstLine="0" w:leftChars="0" w:rightChars="0" w:firstLineChars="0"/>
        <w:jc w:val="center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12044"/>
      <w:r>
        <w:rPr>
          <w:rFonts w:ascii="宋体" w:eastAsia="宋体" w:hAnsi="宋体" w:cs="宋体"/>
          <w:b/>
          <w:bCs/>
          <w:spacing w:val="1"/>
          <w:sz w:val="30"/>
          <w:szCs w:val="30"/>
        </w:rPr>
        <w:t>202</w:t>
      </w:r>
      <w:r>
        <w:rPr>
          <w:rFonts w:ascii="宋体" w:eastAsia="宋体" w:hAnsi="宋体" w:cs="宋体" w:hint="eastAsia"/>
          <w:b/>
          <w:bCs/>
          <w:spacing w:val="1"/>
          <w:sz w:val="30"/>
          <w:szCs w:val="30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1"/>
          <w:sz w:val="30"/>
          <w:szCs w:val="30"/>
        </w:rPr>
        <w:t>年运维服务</w:t>
      </w:r>
      <w:r>
        <w:rPr>
          <w:rFonts w:ascii="宋体" w:eastAsia="宋体" w:hAnsi="宋体" w:cs="宋体" w:hint="eastAsia"/>
          <w:b/>
          <w:bCs/>
          <w:spacing w:val="1"/>
          <w:sz w:val="30"/>
          <w:szCs w:val="30"/>
          <w:lang w:val="en-US" w:eastAsia="zh-CN"/>
        </w:rPr>
        <w:t>质量管理</w:t>
      </w:r>
      <w:r>
        <w:rPr>
          <w:rFonts w:ascii="宋体" w:eastAsia="宋体" w:hAnsi="宋体" w:cs="宋体"/>
          <w:b/>
          <w:bCs/>
          <w:spacing w:val="1"/>
          <w:sz w:val="30"/>
          <w:szCs w:val="30"/>
        </w:rPr>
        <w:t>内部审核报告</w:t>
      </w:r>
      <w:bookmarkEnd w:id="3"/>
    </w:p>
    <w:p>
      <w:pPr>
        <w:spacing w:line="105" w:lineRule="exact"/>
      </w:pPr>
    </w:p>
    <w:tbl>
      <w:tblPr>
        <w:tblStyle w:val="TableNormal1"/>
        <w:tblW w:w="826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60"/>
      </w:tblGrid>
      <w:tr>
        <w:tblPrEx>
          <w:tblW w:w="8260" w:type="dxa"/>
          <w:tblInd w:w="34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/>
        </w:trPr>
        <w:tc>
          <w:tcPr>
            <w:tcW w:w="8260" w:type="dxa"/>
          </w:tcPr>
          <w:p>
            <w:pPr>
              <w:pStyle w:val="TableText"/>
              <w:spacing w:before="270" w:line="220" w:lineRule="auto"/>
              <w:ind w:left="124"/>
              <w:rPr>
                <w:rFonts w:eastAsia="宋体" w:hint="default"/>
                <w:lang w:val="en-US" w:eastAsia="zh-CN"/>
              </w:rPr>
            </w:pPr>
            <w:r>
              <w:rPr>
                <w:rStyle w:val="Char0"/>
                <w:rFonts w:cs="Times New Roman"/>
                <w:b/>
                <w:bCs/>
              </w:rPr>
              <w:t>审核日期：</w:t>
            </w:r>
            <w:r>
              <w:rPr>
                <w:rStyle w:val="Char0"/>
                <w:rFonts w:cs="Times New Roman"/>
              </w:rPr>
              <w:t>202</w:t>
            </w:r>
            <w:r>
              <w:rPr>
                <w:rStyle w:val="Char0"/>
                <w:rFonts w:cs="Times New Roman" w:hint="eastAsia"/>
                <w:lang w:val="en-US" w:eastAsia="zh-CN"/>
              </w:rPr>
              <w:t>5</w:t>
            </w:r>
            <w:r>
              <w:rPr>
                <w:rStyle w:val="Char0"/>
                <w:rFonts w:cs="Times New Roman"/>
              </w:rPr>
              <w:t>年</w:t>
            </w:r>
            <w:r>
              <w:rPr>
                <w:rStyle w:val="Char0"/>
                <w:rFonts w:cs="Times New Roman" w:hint="eastAsia"/>
                <w:lang w:val="en-US" w:eastAsia="zh-CN"/>
              </w:rPr>
              <w:t>12月15</w:t>
            </w:r>
            <w:r>
              <w:rPr>
                <w:rStyle w:val="Char0"/>
                <w:rFonts w:cs="Times New Roman"/>
              </w:rPr>
              <w:t>日-202</w:t>
            </w:r>
            <w:r>
              <w:rPr>
                <w:rStyle w:val="Char0"/>
                <w:rFonts w:cs="Times New Roman" w:hint="eastAsia"/>
                <w:lang w:val="en-US" w:eastAsia="zh-CN"/>
              </w:rPr>
              <w:t>5</w:t>
            </w:r>
            <w:r>
              <w:rPr>
                <w:rStyle w:val="Char0"/>
                <w:rFonts w:cs="Times New Roman"/>
              </w:rPr>
              <w:t>年</w:t>
            </w:r>
            <w:r>
              <w:rPr>
                <w:rStyle w:val="Char0"/>
                <w:rFonts w:cs="Times New Roman" w:hint="eastAsia"/>
                <w:lang w:val="en-US" w:eastAsia="zh-CN"/>
              </w:rPr>
              <w:t>12月16日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/>
        </w:trPr>
        <w:tc>
          <w:tcPr>
            <w:tcW w:w="8260" w:type="dxa"/>
          </w:tcPr>
          <w:p>
            <w:pPr>
              <w:pStyle w:val="TableText"/>
              <w:spacing w:before="222" w:line="355" w:lineRule="auto"/>
              <w:ind w:left="113" w:right="101" w:firstLine="11"/>
            </w:pPr>
            <w:r>
              <w:rPr>
                <w:rStyle w:val="Char0"/>
                <w:rFonts w:cs="Times New Roman"/>
                <w:b/>
                <w:bCs/>
              </w:rPr>
              <w:t>审核目的：</w:t>
            </w:r>
            <w:r>
              <w:rPr>
                <w:rFonts w:eastAsia="宋体" w:hint="default"/>
                <w:lang w:val="en-US" w:eastAsia="zh-CN"/>
              </w:rPr>
              <w:t>评价公司维服务能力管理体系的有效性、充分性和适宜性，验证公司是否符合ITSS要求，是否具备申请ITSS符合性评估申请的要求，推动持续改进。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/>
        </w:trPr>
        <w:tc>
          <w:tcPr>
            <w:tcW w:w="8260" w:type="dxa"/>
          </w:tcPr>
          <w:p>
            <w:pPr>
              <w:pStyle w:val="TableText"/>
              <w:spacing w:before="264" w:line="220" w:lineRule="auto"/>
              <w:ind w:left="124"/>
            </w:pPr>
            <w:r>
              <w:rPr>
                <w:rStyle w:val="Char0"/>
                <w:rFonts w:cs="Times New Roman"/>
                <w:b/>
                <w:bCs/>
              </w:rPr>
              <w:t>审核范围：</w:t>
            </w:r>
            <w:r>
              <w:rPr>
                <w:rFonts w:eastAsia="宋体" w:hint="default"/>
                <w:lang w:val="en-US" w:eastAsia="zh-CN"/>
              </w:rPr>
              <w:t>公司运维服务能力管理体系标准覆盖的相关部门及活动。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4"/>
        </w:trPr>
        <w:tc>
          <w:tcPr>
            <w:tcW w:w="8260" w:type="dxa"/>
          </w:tcPr>
          <w:p>
            <w:pPr>
              <w:pStyle w:val="a1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审核依据的文件：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28827.1-2022 《信息技术服务 运行维护 第1部分：通用要求》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28827.2-2012 《信息技术服务 运行维护 第2部分：交付规范》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GB/T 28827.3-2012 《信息技术服务 运行维护 第3部分：应急响应规范》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T/CESA 1299—2023 《信息技术服务 运行维护服务能力成熟度模型》</w:t>
            </w:r>
          </w:p>
          <w:p>
            <w:pPr>
              <w:pStyle w:val="a1"/>
              <w:numPr>
                <w:ilvl w:val="0"/>
                <w:numId w:val="2"/>
              </w:numPr>
              <w:ind w:left="425" w:hanging="425" w:leftChars="0" w:firstLineChars="0"/>
            </w:pPr>
            <w:r>
              <w:rPr>
                <w:rFonts w:hint="eastAsia"/>
                <w:lang w:val="en-US" w:eastAsia="zh-CN"/>
              </w:rPr>
              <w:t>公司运维服务能力管理体系程序文件、制度、工作文件。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0"/>
        </w:trPr>
        <w:tc>
          <w:tcPr>
            <w:tcW w:w="8260" w:type="dxa"/>
          </w:tcPr>
          <w:p>
            <w:pPr>
              <w:pStyle w:val="TableText"/>
              <w:spacing w:before="116" w:line="220" w:lineRule="auto"/>
              <w:ind w:left="124"/>
            </w:pPr>
            <w:r>
              <w:rPr>
                <w:b/>
                <w:bCs/>
                <w:spacing w:val="-6"/>
              </w:rPr>
              <w:t>审核组组成：</w:t>
            </w:r>
          </w:p>
          <w:p>
            <w:pPr>
              <w:pStyle w:val="TableText"/>
              <w:spacing w:before="181" w:line="220" w:lineRule="auto"/>
              <w:ind w:left="115"/>
            </w:pPr>
            <w:r>
              <w:rPr>
                <w:spacing w:val="-2"/>
              </w:rPr>
              <w:t>组长：杨忠燃</w:t>
            </w:r>
          </w:p>
          <w:p>
            <w:pPr>
              <w:pStyle w:val="TableText"/>
              <w:spacing w:before="182" w:line="220" w:lineRule="auto"/>
              <w:ind w:left="115"/>
            </w:pPr>
            <w:r>
              <w:rPr>
                <w:spacing w:val="-1"/>
              </w:rPr>
              <w:t>组员：宋海滨、刘霞、李文琼、刘长凡</w:t>
            </w:r>
          </w:p>
          <w:p>
            <w:pPr>
              <w:pStyle w:val="TableText"/>
              <w:spacing w:before="181" w:line="220" w:lineRule="auto"/>
              <w:ind w:left="104"/>
            </w:pPr>
            <w:r>
              <w:rPr>
                <w:spacing w:val="-1"/>
              </w:rPr>
              <w:t>A：宋海滨    B：刘霞</w:t>
            </w:r>
          </w:p>
          <w:p>
            <w:pPr>
              <w:pStyle w:val="TableText"/>
              <w:spacing w:before="182" w:line="220" w:lineRule="auto"/>
              <w:ind w:left="110"/>
            </w:pPr>
            <w:r>
              <w:rPr>
                <w:spacing w:val="-1"/>
              </w:rPr>
              <w:t>C：李文琼    D：刘长凡（质量部）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4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</w:pPr>
            <w:r>
              <w:rPr>
                <w:b/>
                <w:bCs/>
                <w:spacing w:val="-5"/>
              </w:rPr>
              <w:t>审核过程概述：</w:t>
            </w:r>
          </w:p>
          <w:p>
            <w:pPr>
              <w:pStyle w:val="a1"/>
              <w:bidi w:val="0"/>
            </w:pPr>
            <w:r>
              <w:t>为了确保本次审核工作顺利进行，在审核前先对内审员进行审核方法、技巧培训，使各审核员明确自己的工作职责，了解ITSS运维服务体系内审的方法，然后根据本次审核计划的安排，将审核人员划分成不同的小组，每个小组指定一个审核负责人，负责所审核部门的检查表的制定，审核过程中内审员通过交谈、询问、检查、抽查、验证等方式对文件、记录、现场实施情况进行检查、核对，验证运维服务能力管理体系是否符合《信息技术服务 运行维护 能力成熟度模型》</w:t>
            </w:r>
            <w:r>
              <w:rPr>
                <w:rFonts w:hint="eastAsia"/>
                <w:lang w:val="en-US" w:eastAsia="zh-CN"/>
              </w:rPr>
              <w:t>三</w:t>
            </w:r>
            <w:r>
              <w:t>级要求以及公司质量管理体系的要求。同时验证体系是否得到有效实施与保持。整个审核过程是在认真和坦诚的气氛中进行，结合受审核部门的特点抽取了具有代表性的样本，审核结果客观、公正。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7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审核结果描述：</w:t>
            </w:r>
          </w:p>
          <w:p>
            <w:pPr>
              <w:pStyle w:val="a1"/>
              <w:bidi w:val="0"/>
              <w:rPr>
                <w:rFonts w:hint="default"/>
                <w:spacing w:val="-4"/>
                <w:lang w:val="en-US" w:eastAsia="zh-CN"/>
              </w:rPr>
            </w:pPr>
            <w:r>
              <w:t>本次内审共发现1处不符合项，</w:t>
            </w:r>
            <w:r>
              <w:rPr>
                <w:rFonts w:hint="eastAsia"/>
                <w:lang w:val="en-US" w:eastAsia="zh-CN"/>
              </w:rPr>
              <w:t>发生</w:t>
            </w:r>
            <w:r>
              <w:t>在运维部，于2025年</w:t>
            </w:r>
            <w:r>
              <w:rPr>
                <w:rFonts w:hint="eastAsia"/>
                <w:lang w:val="en-US" w:eastAsia="zh-CN"/>
              </w:rPr>
              <w:t>12月16</w:t>
            </w:r>
            <w:r>
              <w:t>日下午召开末次会议，向公司</w:t>
            </w:r>
            <w:r>
              <w:rPr>
                <w:rFonts w:hint="eastAsia"/>
                <w:lang w:val="en-US" w:eastAsia="zh-CN"/>
              </w:rPr>
              <w:t>管理者代表</w:t>
            </w:r>
            <w:r>
              <w:t>和受审部门陈述了审核过程及基本情况，宣读了《</w:t>
            </w:r>
            <w:r>
              <w:rPr>
                <w:rFonts w:hint="eastAsia"/>
                <w:lang w:val="en-US" w:eastAsia="zh-CN"/>
              </w:rPr>
              <w:t>内部审核</w:t>
            </w:r>
            <w:r>
              <w:t>不合格报告》，并提出了纠正措施制定、实施的完成时间。整个内审过程，得到了公司领导和各部门的高度重视和密切配合，使审核工作顺利开展，达到了预期的目的。</w:t>
            </w:r>
          </w:p>
        </w:tc>
      </w:tr>
      <w:tr>
        <w:tblPrEx>
          <w:tblW w:w="8260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1"/>
        </w:trPr>
        <w:tc>
          <w:tcPr>
            <w:tcW w:w="8260" w:type="dxa"/>
          </w:tcPr>
          <w:p>
            <w:pPr>
              <w:pStyle w:val="TableText"/>
              <w:spacing w:before="117" w:line="220" w:lineRule="auto"/>
              <w:ind w:left="124"/>
              <w:rPr>
                <w:rFonts w:hint="eastAsia"/>
                <w:b/>
                <w:bCs/>
                <w:spacing w:val="-5"/>
                <w:lang w:val="en-US" w:eastAsia="zh-CN"/>
              </w:rPr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改进措施：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对相关人员进行 T/CESA 1299—2023  7.6.1  运维工具 c)条款进行再培训学习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编制《运维工具使用效果自评估报告》模板，后续对运维工具进行自评估时按此模板填写。</w:t>
            </w:r>
          </w:p>
          <w:p>
            <w:pPr>
              <w:pStyle w:val="a3"/>
              <w:numPr>
                <w:ilvl w:val="0"/>
                <w:numId w:val="3"/>
              </w:numPr>
              <w:bidi w:val="0"/>
            </w:pPr>
            <w:r>
              <w:t>后期由管理人员不定期对此项工作进行抽查，杜绝同类事件的再次发生。</w:t>
            </w:r>
          </w:p>
          <w:p>
            <w:pPr>
              <w:pStyle w:val="a1"/>
              <w:bidi w:val="0"/>
              <w:rPr>
                <w:rFonts w:eastAsia="宋体" w:hint="default"/>
                <w:lang w:val="en-US" w:eastAsia="zh-CN"/>
              </w:rPr>
            </w:pP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65AC893"/>
    <w:multiLevelType w:val="singleLevel"/>
    <w:tmpl w:val="E65AC89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35E705D"/>
    <w:multiLevelType w:val="singleLevel"/>
    <w:tmpl w:val="435E70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1011</Words>
  <Characters>1171</Characters>
  <Application>Microsoft Office Word</Application>
  <DocSecurity>0</DocSecurity>
  <Lines>0</Lines>
  <Paragraphs>0</Paragraphs>
  <ScaleCrop>false</ScaleCrop>
  <Company/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2026-05-24T16:50:37Z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