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2025年度运维服务质量</w:t>
      </w:r>
      <w:bookmarkStart w:id="2" w:name="_GoBack"/>
      <w:bookmarkEnd w:id="2"/>
      <w:r>
        <w:rPr>
          <w:rFonts w:hint="eastAsia"/>
          <w:lang w:val="en-US" w:eastAsia="zh-CN"/>
        </w:rPr>
        <w:t>指标完成情况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文件编号：ZGS-04-20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2.30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TableNormal"/>
        <w:tblW w:w="14833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20"/>
        <w:gridCol w:w="1290"/>
        <w:gridCol w:w="599"/>
        <w:gridCol w:w="881"/>
        <w:gridCol w:w="980"/>
        <w:gridCol w:w="1000"/>
        <w:gridCol w:w="950"/>
        <w:gridCol w:w="911"/>
        <w:gridCol w:w="933"/>
        <w:gridCol w:w="947"/>
        <w:gridCol w:w="933"/>
        <w:gridCol w:w="933"/>
        <w:gridCol w:w="907"/>
        <w:gridCol w:w="707"/>
        <w:gridCol w:w="720"/>
        <w:gridCol w:w="786"/>
      </w:tblGrid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/>
        </w:trPr>
        <w:tc>
          <w:tcPr>
            <w:tcW w:w="13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29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599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707" w:type="dxa"/>
            <w:gridSpan w:val="1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  <w:lang w:val="en-US" w:eastAsia="zh-CN"/>
              </w:rPr>
              <w:t>时间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/>
        </w:trPr>
        <w:tc>
          <w:tcPr>
            <w:tcW w:w="1356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129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599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881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eastAsia="宋体" w:hAnsi="仿宋" w:cs="宋体" w:hint="default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2025年1月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2025年2月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2025年3月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2025年4月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2025年5月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2025年6月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2025年7月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2025年8月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2025年9月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2025年10月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2025年11月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2025年12月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/>
        </w:trPr>
        <w:tc>
          <w:tcPr>
            <w:tcW w:w="135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1356" w:type="dxa"/>
            <w:gridSpan w:val="2"/>
            <w:vMerge/>
            <w:tcBorders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人员备份完成率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/>
        </w:trPr>
        <w:tc>
          <w:tcPr>
            <w:tcW w:w="13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/>
        </w:trPr>
        <w:tc>
          <w:tcPr>
            <w:tcW w:w="636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70%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72%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75%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76%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4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</w:trPr>
        <w:tc>
          <w:tcPr>
            <w:tcW w:w="636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97.6%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/>
        </w:trPr>
        <w:tc>
          <w:tcPr>
            <w:tcW w:w="636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2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98.35%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99.12%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91.7%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color w:val="FF0000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94.64%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95.22%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95.61%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96.59%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/>
        </w:trPr>
        <w:tc>
          <w:tcPr>
            <w:tcW w:w="6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客户投诉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投诉次数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≤3次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833" w:type="dxa"/>
          <w:tblInd w:w="-43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/>
        </w:trPr>
        <w:tc>
          <w:tcPr>
            <w:tcW w:w="14833" w:type="dxa"/>
            <w:gridSpan w:val="1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针对第二季度配置准确率不满足KPI指标的情况，采取以下措施：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1.对相关运维人员进行培训，学习配置管理制度</w:t>
            </w:r>
          </w:p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2.后期质量管理人员对此进行抽查，杜绝此类事件再次发生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1101</Words>
  <Characters>1679</Characters>
  <Application>Microsoft Office Word</Application>
  <DocSecurity>0</DocSecurity>
  <Lines>0</Lines>
  <Paragraphs>0</Paragraphs>
  <ScaleCrop>false</ScaleCrop>
  <Company/>
  <LinksUpToDate>false</LinksUpToDate>
  <CharactersWithSpaces>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2026-05-26T02:24:34Z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