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68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322"/>
      <w:r>
        <w:rPr>
          <w:rFonts w:hint="eastAsia"/>
          <w:lang w:val="en-US" w:eastAsia="zh-CN"/>
        </w:rPr>
        <w:t>人员能力评价管理制度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文件编号：ZGS-05-05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李文琼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_Toc20680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人员能力评价管理制度</w:t>
          </w:r>
          <w:r>
            <w:tab/>
          </w:r>
          <w:r>
            <w:fldChar w:fldCharType="begin"/>
          </w:r>
          <w:r>
            <w:instrText xml:space="preserve"> PAGEREF _Toc29322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_Toc31042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_Toc29660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_Toc3513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_Toc30389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行政部</w:t>
          </w:r>
          <w:r>
            <w:tab/>
          </w:r>
          <w:r>
            <w:fldChar w:fldCharType="begin"/>
          </w:r>
          <w:r>
            <w:instrText xml:space="preserve"> PAGEREF _Toc3895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_Toc9669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_Toc29326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_Toc2249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  <w:lang w:eastAsia="zh-CN"/>
            </w:rPr>
            <w:t>能力评价</w:t>
          </w:r>
          <w:r>
            <w:tab/>
          </w:r>
          <w:r>
            <w:fldChar w:fldCharType="begin"/>
          </w:r>
          <w:r>
            <w:instrText xml:space="preserve"> PAGEREF _Toc1666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  <w:lang w:eastAsia="zh-CN"/>
            </w:rPr>
            <w:t>能力</w:t>
          </w:r>
          <w:r>
            <w:rPr>
              <w:rFonts w:hint="eastAsia"/>
            </w:rPr>
            <w:t>等级</w:t>
          </w:r>
          <w:r>
            <w:tab/>
          </w:r>
          <w:r>
            <w:fldChar w:fldCharType="begin"/>
          </w:r>
          <w:r>
            <w:instrText xml:space="preserve"> PAGEREF _Toc27020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发展通道</w:t>
          </w:r>
          <w:r>
            <w:tab/>
          </w:r>
          <w:r>
            <w:fldChar w:fldCharType="begin"/>
          </w:r>
          <w:r>
            <w:instrText xml:space="preserve"> PAGEREF _Toc4987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_Toc9589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_Toc9589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_Toc25954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评定周期与组织</w:t>
          </w:r>
          <w:r>
            <w:tab/>
          </w:r>
          <w:r>
            <w:fldChar w:fldCharType="begin"/>
          </w:r>
          <w:r>
            <w:instrText xml:space="preserve"> PAGEREF _Toc25954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能力</w:t>
          </w:r>
          <w:r>
            <w:rPr>
              <w:rFonts w:hint="default"/>
              <w:lang w:val="en-US" w:eastAsia="zh-CN"/>
            </w:rPr>
            <w:t>体系与通道</w:t>
          </w:r>
          <w:r>
            <w:tab/>
          </w:r>
          <w:r>
            <w:fldChar w:fldCharType="begin"/>
          </w:r>
          <w:r>
            <w:instrText xml:space="preserve"> PAGEREF _Toc5248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评定规则</w:t>
          </w:r>
          <w:r>
            <w:tab/>
          </w:r>
          <w:r>
            <w:fldChar w:fldCharType="begin"/>
          </w:r>
          <w:r>
            <w:instrText xml:space="preserve"> PAGEREF _Toc2346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评定流程</w:t>
          </w:r>
          <w:r>
            <w:tab/>
          </w:r>
          <w:r>
            <w:fldChar w:fldCharType="begin"/>
          </w:r>
          <w:r>
            <w:instrText xml:space="preserve"> PAGEREF _Toc30990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_Toc1002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_Toc18227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_Toc14190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_Toc14190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_Toc18280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_Toc18280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1042"/>
      <w:r>
        <w:rPr>
          <w:rFonts w:hint="eastAsia"/>
          <w:lang w:val="en-US" w:eastAsia="zh-CN"/>
        </w:rPr>
        <w:t>总则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为建立科学、规范的员工</w:t>
      </w:r>
      <w:r>
        <w:rPr>
          <w:rFonts w:hint="eastAsia"/>
          <w:lang w:eastAsia="zh-CN"/>
        </w:rPr>
        <w:t>能力</w:t>
      </w:r>
      <w:r>
        <w:t>评价体系，明确员工专业</w:t>
      </w:r>
      <w:r>
        <w:rPr>
          <w:rFonts w:hint="eastAsia"/>
          <w:lang w:eastAsia="zh-CN"/>
        </w:rPr>
        <w:t>能力</w:t>
      </w:r>
      <w:r>
        <w:t>发展通道，实现对员工能力价值的准确评估与有效激励，并为薪酬核定、人才选拔与培养提供核心依据，特制定本制度。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388"/>
      <w:r>
        <w:rPr>
          <w:rFonts w:hint="eastAsia"/>
          <w:lang w:val="en-US" w:eastAsia="zh-CN"/>
        </w:rPr>
        <w:t>目的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9660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本制度适用于公司全体在职员工。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3513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本制度遵循以下基本原则：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能力导向原则：以员工实际具备和展现的专业能力、业务能力与业绩成果作为评定核心。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综合评价原则：结合能力考核、工作绩效、项目贡献、专业知识及司龄等多维度进行综合评估。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动态管理原则：能力等级非终身制，根据定期评定结果可晋升、保留或下调，实现能上能下。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0389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895"/>
      <w:r>
        <w:rPr>
          <w:rFonts w:hint="eastAsia"/>
          <w:lang w:val="en-US" w:eastAsia="zh-CN"/>
        </w:rPr>
        <w:t>人力部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作为本制度的归口管理部门，负责制定、修订、解释与推行；组织评定工作，监督评定流程，受理相关咨询与申诉。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9669"/>
      <w:r>
        <w:rPr>
          <w:rFonts w:hint="default"/>
          <w:lang w:val="en-US" w:eastAsia="zh-CN"/>
        </w:rPr>
        <w:t>各部门负责人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负责组织本部门员工的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申报、初评与推荐，确保评定材料的真实性与准确性。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9326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本制度的制定遵循以下国家、行业标准及公司内部规章：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公司《薪酬管理制度》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公司《培训管理制度》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2249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1666"/>
      <w:r>
        <w:rPr>
          <w:rFonts w:hint="eastAsia"/>
          <w:lang w:eastAsia="zh-CN"/>
        </w:rPr>
        <w:t>能力评价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指公司依据ITSS系列标准及岗位要求，对员工的专业技术能力、服务过程规范性及业绩贡献进行系统性评估的管理活动。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7020"/>
      <w:r>
        <w:rPr>
          <w:rFonts w:hint="eastAsia"/>
          <w:lang w:eastAsia="zh-CN"/>
        </w:rPr>
        <w:t>能力</w:t>
      </w:r>
      <w:r>
        <w:rPr>
          <w:rFonts w:hint="eastAsia"/>
        </w:rPr>
        <w:t>等级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代表员工在ITSS体系下专业</w:t>
      </w:r>
      <w:r>
        <w:rPr>
          <w:rFonts w:hint="eastAsia"/>
          <w:lang w:eastAsia="zh-CN"/>
        </w:rPr>
        <w:t>能力</w:t>
      </w:r>
      <w:r>
        <w:rPr>
          <w:rFonts w:hint="eastAsia"/>
        </w:rPr>
        <w:t>水平的层级，与薪酬激励、职业发展机会挂钩。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4987"/>
      <w:r>
        <w:rPr>
          <w:rFonts w:hint="eastAsia"/>
        </w:rPr>
        <w:t>发展通道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公司为员工设定的职业发展路径，主要包括侧重于服务交付与团队管理的“管理通道”和侧重于专业技术深度与创新的“技术通道”。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9589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5954"/>
      <w:r>
        <w:rPr>
          <w:rFonts w:hint="default"/>
          <w:lang w:val="en-US" w:eastAsia="zh-CN"/>
        </w:rPr>
        <w:t>评定周期与组织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公司每年组织一次集中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，以确保员工能力与ITSS服务能力体系的持续符合性。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人力部负责全流程的组织与协调，各业务部门负责依据ITSS标准进行具体实施与初评推荐。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5248"/>
      <w:r>
        <w:rPr>
          <w:rFonts w:hint="eastAsia"/>
          <w:lang w:val="en-US" w:eastAsia="zh-CN"/>
        </w:rPr>
        <w:t>能力</w:t>
      </w:r>
      <w:r>
        <w:rPr>
          <w:rFonts w:hint="default"/>
          <w:lang w:val="en-US" w:eastAsia="zh-CN"/>
        </w:rPr>
        <w:t>体系与通道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公司设立管理序列与技术序列两大发展通道，其能力模型与岗位设置符合ITSS对人员资源管理的要求。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各通道下设不同</w:t>
      </w:r>
      <w:r>
        <w:rPr>
          <w:rFonts w:hint="eastAsia"/>
          <w:lang w:val="en-US" w:eastAsia="zh-CN"/>
        </w:rPr>
        <w:t>能力</w:t>
      </w:r>
      <w:r>
        <w:rPr>
          <w:rFonts w:hint="default"/>
          <w:lang w:val="en-US" w:eastAsia="zh-CN"/>
        </w:rPr>
        <w:t>等级，其能力标准需确保员工具备履行相应服务目录、交付规范及应急响应流程的资格。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346"/>
      <w:r>
        <w:rPr>
          <w:rFonts w:hint="default"/>
          <w:lang w:val="en-US" w:eastAsia="zh-CN"/>
        </w:rPr>
        <w:t>评定规则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能力</w:t>
      </w:r>
      <w:r>
        <w:rPr>
          <w:rFonts w:hint="default"/>
          <w:lang w:val="en-US" w:eastAsia="zh-CN"/>
        </w:rPr>
        <w:t>等级确认主要依据以下维度，并重点考察对ITSS标准的理解与应用：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专业知识与</w:t>
      </w:r>
      <w:r>
        <w:rPr>
          <w:rFonts w:hint="eastAsia"/>
          <w:lang w:val="en-US" w:eastAsia="zh-CN"/>
        </w:rPr>
        <w:t>能力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对ITSS系列标准、运维专业知识及服务流程的掌握与应用能力。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业绩与成果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服务交付、应急响应、客户满意度及持续改进方面的实际贡献。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能力与素质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包括沟通协调、团队协作、问题解决及技术创新等核心能力。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新员工定级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依据岗位在ITSS体系中的能力要求，结合其学历、专业资质及项目经验，核定初始</w:t>
      </w:r>
      <w:r>
        <w:rPr>
          <w:rFonts w:hint="eastAsia"/>
          <w:lang w:val="en-US" w:eastAsia="zh-CN"/>
        </w:rPr>
        <w:t>能力</w:t>
      </w:r>
      <w:r>
        <w:rPr>
          <w:rFonts w:hint="default"/>
          <w:lang w:val="en-US" w:eastAsia="zh-CN"/>
        </w:rPr>
        <w:t>等级。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等级调整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晋升：年度评定达标，且其能力表现符合甚至超越ITSS当前等级能力要求者，可申请晋升。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降级：连续两次年度评定未达当前等级标准，或出现重大服务事故、违反核心服务规范者，予以降级处理。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能力</w:t>
      </w:r>
      <w:r>
        <w:rPr>
          <w:rFonts w:hint="default"/>
          <w:lang w:val="en-US" w:eastAsia="zh-CN"/>
        </w:rPr>
        <w:t>等级对应的薪酬标准按公司现行制度执行，其设计需支持ITSS对关键人才的激励与保留要求。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30990"/>
      <w:r>
        <w:rPr>
          <w:rFonts w:hint="default"/>
          <w:lang w:val="en-US" w:eastAsia="zh-CN"/>
        </w:rPr>
        <w:t>评定流程</w:t>
      </w:r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申报与初评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员工根据申报条件提交材料，部门负责人依据ITSS相关标准进行审核与初评。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汇总与审核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人力部对各部门申报材料进行合规性审查，确保评定过程与ITSS人员能力管理要求一致。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综合评审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评定小组对申报材料进行评审，可结合案例答辩、模拟应急场景等方式，重点考察员工对ITSS标准的实践能力，确定最终等级。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结果发布与应用：最终结果经审批后公布，并作为薪酬调整、岗位晋升及针对性培训（如ITSS标准培训）的依据。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002"/>
      <w:r>
        <w:rPr>
          <w:rFonts w:hint="eastAsia"/>
          <w:lang w:val="en-US" w:eastAsia="zh-CN"/>
        </w:rPr>
        <w:t>考核指标</w:t>
      </w:r>
      <w:bookmarkEnd w:id="20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人员能力评价指标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能力评价合格率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能力评价合格人数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能力评价总人数）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1" w:name="bookmark3"/>
      <w:bookmarkEnd w:id="21"/>
      <w:bookmarkStart w:id="22" w:name="_Toc18227"/>
      <w:bookmarkStart w:id="23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22"/>
      <w:bookmarkEnd w:id="23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本制度最终解释权和修订权归人力部。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bookmark14"/>
      <w:bookmarkEnd w:id="24"/>
      <w:bookmarkStart w:id="25" w:name="_Toc14190"/>
      <w:r>
        <w:rPr>
          <w:rFonts w:hint="eastAsia"/>
          <w:lang w:val="en-US" w:eastAsia="zh-CN"/>
        </w:rPr>
        <w:t>附件</w:t>
      </w:r>
      <w:bookmarkEnd w:id="25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《管理序列</w:t>
      </w:r>
      <w:r>
        <w:rPr>
          <w:rFonts w:hint="eastAsia"/>
          <w:lang w:val="en-US" w:eastAsia="zh-CN"/>
        </w:rPr>
        <w:t>能力</w:t>
      </w:r>
      <w:r>
        <w:rPr>
          <w:rFonts w:hint="default"/>
          <w:lang w:val="en-US" w:eastAsia="zh-CN"/>
        </w:rPr>
        <w:t>等级与能力标准对照表》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《技术序列</w:t>
      </w:r>
      <w:r>
        <w:rPr>
          <w:rFonts w:hint="eastAsia"/>
          <w:lang w:val="en-US" w:eastAsia="zh-CN"/>
        </w:rPr>
        <w:t>能力</w:t>
      </w:r>
      <w:r>
        <w:rPr>
          <w:rFonts w:hint="default"/>
          <w:lang w:val="en-US" w:eastAsia="zh-CN"/>
        </w:rPr>
        <w:t>等级与能力标准对照表》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18280"/>
      <w:r>
        <w:rPr>
          <w:rFonts w:hint="eastAsia"/>
          <w:lang w:val="en-US" w:eastAsia="zh-CN"/>
        </w:rPr>
        <w:t>记录</w:t>
      </w:r>
      <w:bookmarkEnd w:id="2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《员工能力评价申报表》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《能力评价综合评审记录》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1BAE05"/>
    <w:multiLevelType w:val="singleLevel"/>
    <w:tmpl w:val="8E1BAE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CB4CB2F"/>
    <w:multiLevelType w:val="singleLevel"/>
    <w:tmpl w:val="BCB4CB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3E48769"/>
    <w:multiLevelType w:val="singleLevel"/>
    <w:tmpl w:val="13E487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791D882"/>
    <w:multiLevelType w:val="singleLevel"/>
    <w:tmpl w:val="1791D88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16DE7C0"/>
    <w:multiLevelType w:val="singleLevel"/>
    <w:tmpl w:val="616DE7C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6A8579A5"/>
    <w:multiLevelType w:val="singleLevel"/>
    <w:tmpl w:val="6A8579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04288BC"/>
    <w:multiLevelType w:val="singleLevel"/>
    <w:tmpl w:val="704288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1730</Words>
  <Characters>1941</Characters>
  <Application>Microsoft Office Word</Application>
  <DocSecurity>0</DocSecurity>
  <Lines>0</Lines>
  <Paragraphs>0</Paragraphs>
  <ScaleCrop>false</ScaleCrop>
  <Company/>
  <LinksUpToDate>false</LinksUpToDate>
  <CharactersWithSpaces>1996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2026-05-25T03:34:45Z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