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8080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6969"/>
      <w:r>
        <w:rPr>
          <w:rFonts w:hint="eastAsia"/>
          <w:lang w:val="en-US" w:eastAsia="zh-CN"/>
        </w:rPr>
        <w:t>工作交接管理制度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文件编号：ZGS-05-06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编制部门:人力部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" w:name="_GoBack"/>
            <w:bookmarkEnd w:id="2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批准人:李文琼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7137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>
        <w:tblPrEx>
          <w:tblW w:w="7137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u w:val="none"/>
                <w:lang w:val="en-US" w:eastAsia="zh-CN"/>
              </w:rPr>
              <w:t>李文琼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_Toc18080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_Toc18080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_Toc26969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人员工作交接管理制度</w:t>
          </w:r>
          <w:r>
            <w:tab/>
          </w:r>
          <w:r>
            <w:fldChar w:fldCharType="begin"/>
          </w:r>
          <w:r>
            <w:instrText xml:space="preserve"> PAGEREF _Toc26969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_Toc1463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_Toc9139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_Toc9139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_Toc11881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_Toc11881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_Toc26229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_Toc26229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_Toc25403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_Toc25403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_Toc13786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1.4.1. 行政部</w:t>
          </w:r>
          <w:r>
            <w:tab/>
          </w:r>
          <w:r>
            <w:fldChar w:fldCharType="begin"/>
          </w:r>
          <w:r>
            <w:instrText xml:space="preserve"> PAGEREF _Toc13786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_Toc31769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1.4.2. </w:t>
          </w:r>
          <w:r>
            <w:rPr>
              <w:rFonts w:hint="eastAsia"/>
              <w:lang w:val="en-US" w:eastAsia="zh-CN"/>
            </w:rPr>
            <w:t>其他运维部门</w:t>
          </w:r>
          <w:r>
            <w:tab/>
          </w:r>
          <w:r>
            <w:fldChar w:fldCharType="begin"/>
          </w:r>
          <w:r>
            <w:instrText xml:space="preserve"> PAGEREF _Toc31769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_Toc25657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_Toc25657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_Toc23472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_Toc23472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工作交接</w:t>
          </w:r>
          <w:r>
            <w:tab/>
          </w:r>
          <w:r>
            <w:fldChar w:fldCharType="begin"/>
          </w:r>
          <w:r>
            <w:instrText xml:space="preserve"> PAGEREF _Toc1140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_Toc16544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移交人</w:t>
          </w:r>
          <w:r>
            <w:tab/>
          </w:r>
          <w:r>
            <w:fldChar w:fldCharType="begin"/>
          </w:r>
          <w:r>
            <w:instrText xml:space="preserve"> PAGEREF _Toc16544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_Toc31974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接收人</w:t>
          </w:r>
          <w:r>
            <w:tab/>
          </w:r>
          <w:r>
            <w:fldChar w:fldCharType="begin"/>
          </w:r>
          <w:r>
            <w:instrText xml:space="preserve"> PAGEREF _Toc31974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_Toc31014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_Toc31014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_Toc9953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交接情形与启动</w:t>
          </w:r>
          <w:r>
            <w:tab/>
          </w:r>
          <w:r>
            <w:fldChar w:fldCharType="begin"/>
          </w:r>
          <w:r>
            <w:instrText xml:space="preserve"> PAGEREF _Toc9953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_Toc21807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交接内容</w:t>
          </w:r>
          <w:r>
            <w:tab/>
          </w:r>
          <w:r>
            <w:fldChar w:fldCharType="begin"/>
          </w:r>
          <w:r>
            <w:instrText xml:space="preserve"> PAGEREF _Toc21807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_Toc1783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交接流程</w:t>
          </w:r>
          <w:r>
            <w:tab/>
          </w:r>
          <w:r>
            <w:fldChar w:fldCharType="begin"/>
          </w:r>
          <w:r>
            <w:instrText xml:space="preserve"> PAGEREF _Toc1783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_Toc20984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4.3.1. 启动与准备</w:t>
          </w:r>
          <w:r>
            <w:tab/>
          </w:r>
          <w:r>
            <w:fldChar w:fldCharType="begin"/>
          </w:r>
          <w:r>
            <w:instrText xml:space="preserve"> PAGEREF _Toc20984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_Toc19614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4.3.2. 交接执行</w:t>
          </w:r>
          <w:r>
            <w:tab/>
          </w:r>
          <w:r>
            <w:fldChar w:fldCharType="begin"/>
          </w:r>
          <w:r>
            <w:instrText xml:space="preserve"> PAGEREF _Toc19614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_Toc5021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4.3.3. 确认与签字</w:t>
          </w:r>
          <w:r>
            <w:tab/>
          </w:r>
          <w:r>
            <w:fldChar w:fldCharType="begin"/>
          </w:r>
          <w:r>
            <w:instrText xml:space="preserve"> PAGEREF _Toc5021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_Toc31736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4.3.4. 归档与备案</w:t>
          </w:r>
          <w:r>
            <w:tab/>
          </w:r>
          <w:r>
            <w:fldChar w:fldCharType="begin"/>
          </w:r>
          <w:r>
            <w:instrText xml:space="preserve"> PAGEREF _Toc31736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_Toc9296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交接时限</w:t>
          </w:r>
          <w:r>
            <w:tab/>
          </w:r>
          <w:r>
            <w:fldChar w:fldCharType="begin"/>
          </w:r>
          <w:r>
            <w:instrText xml:space="preserve"> PAGEREF _Toc9296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_Toc31421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5. </w:t>
          </w:r>
          <w:r>
            <w:rPr>
              <w:rFonts w:eastAsia="宋体"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_Toc31421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_Toc28170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_Toc28170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_Toc16795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_Toc16795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3" w:name="_Toc1463"/>
      <w:r>
        <w:rPr>
          <w:rFonts w:hint="eastAsia"/>
          <w:lang w:val="en-US" w:eastAsia="zh-CN"/>
        </w:rPr>
        <w:t>总则</w:t>
      </w:r>
      <w:bookmarkEnd w:id="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9139"/>
      <w:r>
        <w:rPr>
          <w:rFonts w:hint="eastAsia"/>
          <w:lang w:val="en-US" w:eastAsia="zh-CN"/>
        </w:rPr>
        <w:t>目的</w:t>
      </w:r>
      <w:bookmarkEnd w:id="4"/>
    </w:p>
    <w:p>
      <w:pPr>
        <w:pStyle w:val="a1"/>
        <w:rPr>
          <w:rFonts w:hint="eastAsia"/>
        </w:rPr>
      </w:pPr>
      <w:r>
        <w:rPr>
          <w:rFonts w:hint="eastAsia"/>
        </w:rPr>
        <w:t>为规范员工岗位变动期间的工作交接流程，确保岗位所负责的各项业务、资料与职责能够清晰、完整、顺利地移交，保障公司业务的连续性与稳定性，避免因人员变动造成工作延误或资产损失，特制定本制度。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11881"/>
      <w:r>
        <w:rPr>
          <w:rFonts w:hint="eastAsia"/>
          <w:lang w:val="en-US" w:eastAsia="zh-CN"/>
        </w:rPr>
        <w:t>适用范围</w:t>
      </w:r>
      <w:bookmarkEnd w:id="5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本制度适用于公司所有在职员工因岗位调动、离职、休假（长期）或其他原因离开原岗位时，所进行的工作交接。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" w:name="_Toc26229"/>
      <w:r>
        <w:rPr>
          <w:rFonts w:hint="eastAsia"/>
          <w:lang w:val="en-US" w:eastAsia="zh-CN"/>
        </w:rPr>
        <w:t>原则</w:t>
      </w:r>
      <w:bookmarkEnd w:id="6"/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完整性原则：交接内容应全面覆盖岗位核心职责、待办事项、重要资料及资源，确保无遗漏。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清晰性原则：交接过程与内容须明确、具体，关键事项应提供书面说明与必要指导。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责任明晰原则：明确交接双方的责任与义务，交接完成后须确认责任转移。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及时性原则：交接工作应在规定时间内启动并完成，确保业务平稳过渡。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25403"/>
      <w:r>
        <w:rPr>
          <w:rFonts w:hint="eastAsia"/>
          <w:lang w:val="en-US" w:eastAsia="zh-CN"/>
        </w:rPr>
        <w:t>岗位职责</w:t>
      </w:r>
      <w:bookmarkEnd w:id="7"/>
    </w:p>
    <w:p>
      <w:pPr>
        <w:pStyle w:val="3"/>
        <w:bidi w:val="0"/>
        <w:rPr>
          <w:rFonts w:hint="default"/>
          <w:lang w:val="en-US" w:eastAsia="zh-CN"/>
        </w:rPr>
      </w:pPr>
      <w:bookmarkStart w:id="8" w:name="_Toc13786"/>
      <w:r>
        <w:rPr>
          <w:rFonts w:hint="default"/>
          <w:lang w:val="en-US" w:eastAsia="zh-CN"/>
        </w:rPr>
        <w:t>人力部</w:t>
      </w:r>
      <w:bookmarkEnd w:id="8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负责本制度的推行与监督，归档《工作交接清单》，并对交接过程提供必要支持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9" w:name="_Toc31769"/>
      <w:r>
        <w:rPr>
          <w:rFonts w:hint="eastAsia"/>
          <w:lang w:val="en-US" w:eastAsia="zh-CN"/>
        </w:rPr>
        <w:t>其他运维部门</w:t>
      </w:r>
      <w:bookmarkEnd w:id="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移交人：指离开原岗位的员工，负责整理交接清单、办理交接手续，并对所移交内容的真实性、完整性负责。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接收人：指接替工作的员工或临时负责人，负责清点、核实交接内容，并尽快熟悉业务。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监交人：通常为移交人的直接上级，负责监督交接过程，审核交接内容的完整性，并协调解决交接中的问题。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0" w:name="_Toc25657"/>
      <w:r>
        <w:rPr>
          <w:rFonts w:hint="eastAsia"/>
          <w:lang w:val="en-US" w:eastAsia="zh-CN"/>
        </w:rPr>
        <w:t>引用依据</w:t>
      </w:r>
      <w:bookmarkEnd w:id="10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本制度参照国家相关劳动法律法规及公司《员工手册》、《档案管理制度》、《资产管理制度》等内部规章制定。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1" w:name="_Toc23472"/>
      <w:r>
        <w:rPr>
          <w:rFonts w:hint="eastAsia"/>
          <w:lang w:val="en-US" w:eastAsia="zh-CN"/>
        </w:rPr>
        <w:t>定义与术语</w:t>
      </w:r>
      <w:bookmarkEnd w:id="11"/>
    </w:p>
    <w:p>
      <w:pPr>
        <w:pStyle w:val="2"/>
        <w:bidi w:val="0"/>
        <w:rPr>
          <w:rFonts w:hint="eastAsia"/>
        </w:rPr>
      </w:pPr>
      <w:bookmarkStart w:id="12" w:name="_Toc1140"/>
      <w:r>
        <w:rPr>
          <w:rFonts w:hint="eastAsia"/>
        </w:rPr>
        <w:t>工作交接</w:t>
      </w:r>
      <w:bookmarkEnd w:id="12"/>
    </w:p>
    <w:p>
      <w:pPr>
        <w:pStyle w:val="a1"/>
        <w:rPr>
          <w:rFonts w:hint="eastAsia"/>
        </w:rPr>
      </w:pPr>
      <w:r>
        <w:rPr>
          <w:rFonts w:hint="eastAsia"/>
        </w:rPr>
        <w:t>指员工岗位变动时，将其负责的工作任务、资料、资源及待办事项等，转移给接任者的管理过程。</w:t>
      </w:r>
    </w:p>
    <w:p>
      <w:pPr>
        <w:pStyle w:val="2"/>
        <w:bidi w:val="0"/>
        <w:rPr>
          <w:rFonts w:hint="eastAsia"/>
        </w:rPr>
      </w:pPr>
      <w:bookmarkStart w:id="13" w:name="_Toc16544"/>
      <w:r>
        <w:rPr>
          <w:rFonts w:hint="eastAsia"/>
        </w:rPr>
        <w:t>移交人</w:t>
      </w:r>
      <w:bookmarkEnd w:id="13"/>
    </w:p>
    <w:p>
      <w:pPr>
        <w:pStyle w:val="a1"/>
        <w:rPr>
          <w:rFonts w:hint="eastAsia"/>
        </w:rPr>
      </w:pPr>
      <w:r>
        <w:rPr>
          <w:rFonts w:hint="eastAsia"/>
        </w:rPr>
        <w:t>在岗位变动中，需要交出工作的员工。</w:t>
      </w:r>
    </w:p>
    <w:p>
      <w:pPr>
        <w:pStyle w:val="2"/>
        <w:bidi w:val="0"/>
        <w:rPr>
          <w:rFonts w:hint="eastAsia"/>
        </w:rPr>
      </w:pPr>
      <w:bookmarkStart w:id="14" w:name="_Toc31974"/>
      <w:r>
        <w:rPr>
          <w:rFonts w:hint="eastAsia"/>
        </w:rPr>
        <w:t>接收人</w:t>
      </w:r>
      <w:bookmarkEnd w:id="14"/>
    </w:p>
    <w:p>
      <w:pPr>
        <w:pStyle w:val="a1"/>
        <w:rPr>
          <w:rFonts w:hint="eastAsia"/>
        </w:rPr>
      </w:pPr>
      <w:r>
        <w:rPr>
          <w:rFonts w:hint="eastAsia"/>
        </w:rPr>
        <w:t>在岗位变动中，需要接收工作的员工。</w:t>
      </w:r>
    </w:p>
    <w:p>
      <w:pPr>
        <w:pStyle w:val="a1"/>
      </w:pPr>
      <w:r>
        <w:rPr>
          <w:rFonts w:hint="eastAsia"/>
        </w:rPr>
        <w:t>监交人负责监督和见证整个工作交接过程的管理人员。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31014"/>
      <w:r>
        <w:rPr>
          <w:rFonts w:hint="eastAsia"/>
          <w:lang w:val="en-US" w:eastAsia="zh-CN"/>
        </w:rPr>
        <w:t>管理内容与要求</w:t>
      </w:r>
      <w:bookmarkEnd w:id="15"/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9953"/>
      <w:r>
        <w:rPr>
          <w:rFonts w:hint="default"/>
          <w:lang w:val="en-US" w:eastAsia="zh-CN"/>
        </w:rPr>
        <w:t>交接情形与启动</w:t>
      </w:r>
      <w:bookmarkEnd w:id="16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出现以下情形之一时，须启动工作交接程序：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员工提出离职或公司解除/终止劳动合同。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员工内部岗位调动或晋升。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员工因长期病假、产假等连续休假超过（含）5个工作日。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其他经公司认定需要进行工作交接的情形。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21807"/>
      <w:r>
        <w:rPr>
          <w:rFonts w:hint="default"/>
          <w:lang w:val="en-US" w:eastAsia="zh-CN"/>
        </w:rPr>
        <w:t>交接内容</w:t>
      </w:r>
      <w:bookmarkEnd w:id="17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工作交接应包含但不限于以下内容：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工作职责与流程：岗位核心职责说明、日常工作流程、关键控制点。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待办事项：正在进行中的项目、任务进度、待审批事项及最终截止日期。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文件资料：电子及纸质文件目录与存档位置，包括项目文档、合同、报告、技术资料等。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资产与权限：办公设备、公司资产、系统账号、权限密码、钥匙等。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内外联络：重要的内外部联系人、对接窗口及当前沟通状态。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其他重要信息：上级指定的其他需特别说明的事项。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1783"/>
      <w:r>
        <w:rPr>
          <w:rFonts w:hint="default"/>
          <w:lang w:val="en-US" w:eastAsia="zh-CN"/>
        </w:rPr>
        <w:t>交接流程</w:t>
      </w:r>
      <w:bookmarkEnd w:id="18"/>
    </w:p>
    <w:p>
      <w:pPr>
        <w:pStyle w:val="3"/>
        <w:bidi w:val="0"/>
        <w:rPr>
          <w:rFonts w:hint="default"/>
          <w:lang w:val="en-US" w:eastAsia="zh-CN"/>
        </w:rPr>
      </w:pPr>
      <w:bookmarkStart w:id="19" w:name="_Toc20984"/>
      <w:r>
        <w:rPr>
          <w:rFonts w:hint="default"/>
          <w:lang w:val="en-US" w:eastAsia="zh-CN"/>
        </w:rPr>
        <w:t>启动与准备</w:t>
      </w:r>
      <w:bookmarkEnd w:id="1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人力部或直接主管在确认员工岗位变动后，应即时通知相关人员，启动交接。移交人需在约定时间内填写《工作交接清单》（附件一）。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20" w:name="_Toc19614"/>
      <w:r>
        <w:rPr>
          <w:rFonts w:hint="default"/>
          <w:lang w:val="en-US" w:eastAsia="zh-CN"/>
        </w:rPr>
        <w:t>交接执行</w:t>
      </w:r>
      <w:bookmarkEnd w:id="20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在监交人监督下，移交人向接收人逐项说明并移交《工作交接清单》所列内容。接收人进行核实，如有疑问应及时提出。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21" w:name="_Toc5021"/>
      <w:r>
        <w:rPr>
          <w:rFonts w:hint="default"/>
          <w:lang w:val="en-US" w:eastAsia="zh-CN"/>
        </w:rPr>
        <w:t>确认与签字</w:t>
      </w:r>
      <w:bookmarkEnd w:id="21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交接三方（移交人、接收人、监交人）确认所有事项已清晰、完整地移交后，在《工作交接清单》上签字确认。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22" w:name="_Toc31736"/>
      <w:r>
        <w:rPr>
          <w:rFonts w:hint="default"/>
          <w:lang w:val="en-US" w:eastAsia="zh-CN"/>
        </w:rPr>
        <w:t>归档与备案</w:t>
      </w:r>
      <w:bookmarkEnd w:id="22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签字完毕的《工作交接清单》一式三份，移交人、接收人、人力部各存一份。人力部负责将交接完成作为办理离职或调岗手续的必要环节。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3" w:name="_Toc9296"/>
      <w:r>
        <w:rPr>
          <w:rFonts w:hint="default"/>
          <w:lang w:val="en-US" w:eastAsia="zh-CN"/>
        </w:rPr>
        <w:t>交接时限</w:t>
      </w:r>
      <w:bookmarkEnd w:id="23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普通员工：原则上交接期不少于3个工作日。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关键技术及管理岗位员工：原则上交接期不少于5个工作日。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具体时长可由直接上级根据岗位复杂程度及实际情况提出，经部门负责人批准后执行。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Style w:val="1Char"/>
          <w:rFonts w:eastAsia="宋体" w:hint="default"/>
          <w:lang w:val="en-US" w:eastAsia="zh-CN"/>
        </w:rPr>
      </w:pPr>
      <w:bookmarkStart w:id="24" w:name="bookmark3"/>
      <w:bookmarkEnd w:id="24"/>
      <w:bookmarkStart w:id="25" w:name="_Toc31421"/>
      <w:bookmarkStart w:id="26" w:name="_Toc17424"/>
      <w:r>
        <w:rPr>
          <w:rStyle w:val="1Char"/>
          <w:rFonts w:eastAsia="宋体" w:hint="eastAsia"/>
          <w:lang w:val="en-US" w:eastAsia="zh-CN"/>
        </w:rPr>
        <w:t>附则</w:t>
      </w:r>
      <w:bookmarkEnd w:id="25"/>
      <w:bookmarkEnd w:id="26"/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本制度最终解释权和修订权归人力部。</w:t>
      </w:r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本制度自颁布之日起施行。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bookmark14"/>
      <w:bookmarkEnd w:id="27"/>
      <w:bookmarkStart w:id="28" w:name="_Toc28170"/>
      <w:r>
        <w:rPr>
          <w:rFonts w:hint="eastAsia"/>
          <w:lang w:val="en-US" w:eastAsia="zh-CN"/>
        </w:rPr>
        <w:t>附件</w:t>
      </w:r>
      <w:bookmarkEnd w:id="28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附件一：《工作交接清单》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9" w:name="_Toc16795"/>
      <w:r>
        <w:rPr>
          <w:rFonts w:hint="eastAsia"/>
          <w:lang w:val="en-US" w:eastAsia="zh-CN"/>
        </w:rPr>
        <w:t>记录</w:t>
      </w:r>
      <w:bookmarkEnd w:id="29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sectPr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  <w:tab/>
      <w:t>重庆市鹧鸪哨信息技术有限责任公司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5C4A4F3"/>
    <w:multiLevelType w:val="singleLevel"/>
    <w:tmpl w:val="C5C4A4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9539CF3"/>
    <w:multiLevelType w:val="singleLevel"/>
    <w:tmpl w:val="F9539C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CDDB4BE"/>
    <w:multiLevelType w:val="singleLevel"/>
    <w:tmpl w:val="FCDDB4B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22355150"/>
    <w:multiLevelType w:val="singleLevel"/>
    <w:tmpl w:val="2235515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3.xml" /><Relationship Id="rId11" Type="http://schemas.openxmlformats.org/officeDocument/2006/relationships/footer" Target="footer3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header" Target="header1.xml" /><Relationship Id="rId7" Type="http://schemas.openxmlformats.org/officeDocument/2006/relationships/header" Target="header2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1588</Words>
  <Characters>1713</Characters>
  <Application>Microsoft Office Word</Application>
  <DocSecurity>0</DocSecurity>
  <Lines>0</Lines>
  <Paragraphs>0</Paragraphs>
  <ScaleCrop>false</ScaleCrop>
  <Company/>
  <LinksUpToDate>false</LinksUpToDate>
  <CharactersWithSpaces>1763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2026-05-25T03:34:49Z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