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19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029"/>
      <w:r>
        <w:rPr>
          <w:rFonts w:hint="eastAsia"/>
          <w:lang w:val="en-US" w:eastAsia="zh-CN"/>
        </w:rPr>
        <w:t>人员备份管理制度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文件编号：ZGSJ-05-07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_Toc30199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_Toc17029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_Toc7610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_Toc7228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_Toc19224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_Toc9610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行政部</w:t>
          </w:r>
          <w:r>
            <w:tab/>
          </w:r>
          <w:r>
            <w:fldChar w:fldCharType="begin"/>
          </w:r>
          <w:r>
            <w:instrText xml:space="preserve"> PAGEREF _Toc28309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_Toc8702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_Toc21782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_Toc10500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_Toc9737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关键岗位</w:t>
          </w:r>
          <w:r>
            <w:tab/>
          </w:r>
          <w:r>
            <w:fldChar w:fldCharType="begin"/>
          </w:r>
          <w:r>
            <w:instrText xml:space="preserve"> PAGEREF _Toc17210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备份人员</w:t>
          </w:r>
          <w:r>
            <w:tab/>
          </w:r>
          <w:r>
            <w:fldChar w:fldCharType="begin"/>
          </w:r>
          <w:r>
            <w:instrText xml:space="preserve"> PAGEREF _Toc29400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备份机制启动</w:t>
          </w:r>
          <w:r>
            <w:tab/>
          </w:r>
          <w:r>
            <w:fldChar w:fldCharType="begin"/>
          </w:r>
          <w:r>
            <w:instrText xml:space="preserve"> PAGEREF _Toc17057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_Toc6863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备份岗位的确定</w:t>
          </w:r>
          <w:r>
            <w:tab/>
          </w:r>
          <w:r>
            <w:fldChar w:fldCharType="begin"/>
          </w:r>
          <w:r>
            <w:instrText xml:space="preserve"> PAGEREF _Toc20823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备份人员的确立</w:t>
          </w:r>
          <w:r>
            <w:tab/>
          </w:r>
          <w:r>
            <w:fldChar w:fldCharType="begin"/>
          </w:r>
          <w:r>
            <w:instrText xml:space="preserve"> PAGEREF _Toc28534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备份关系的备案与公布</w:t>
          </w:r>
          <w:r>
            <w:tab/>
          </w:r>
          <w:r>
            <w:fldChar w:fldCharType="begin"/>
          </w:r>
          <w:r>
            <w:instrText xml:space="preserve"> PAGEREF _Toc4900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备份培训与知识管理</w:t>
          </w:r>
          <w:r>
            <w:tab/>
          </w:r>
          <w:r>
            <w:fldChar w:fldCharType="begin"/>
          </w:r>
          <w:r>
            <w:instrText xml:space="preserve"> PAGEREF _Toc9321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备份机制的启动与执行</w:t>
          </w:r>
          <w:r>
            <w:tab/>
          </w:r>
          <w:r>
            <w:fldChar w:fldCharType="begin"/>
          </w:r>
          <w:r>
            <w:instrText xml:space="preserve"> PAGEREF _Toc22619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_Toc12080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_Toc5347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_Toc9311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555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610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为降低因员工休假、离职或其他原因缺勤对业务连续性的影响，确保关键岗位工作的无缝衔接与正常运转，建立系统化的人员备份机制，提升组织整体抗风险能力，特制定本制度。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228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本制度适用于公司人力部、采购部、运维部、质量部所有岗位。各部门关键岗位必须设立备份人员。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922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业务延续原则：备份工作的核心目标是保障核心业务流程不中断、关键任务不延误。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能力匹配原则：备份人员应具备履行所备份岗位核心职责的基本知识与技能。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明确权责原则：明确备份关系与启动流程，确保备份机制启动时，双方权责清晰。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动态调整原则：备份关系需随业务、岗位及人员变动进行定期评估与更新。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9610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8309"/>
      <w:r>
        <w:rPr>
          <w:rFonts w:hint="default"/>
          <w:lang w:val="en-US" w:eastAsia="zh-CN"/>
        </w:rPr>
        <w:t>人力部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作为归口管理部门，负责本制度的制定、推行与维护；统筹备份关系备案，并监督执行情况。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8702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作为本部门人员备份管理的第一责任人，负责提名、审核并确认本部门的岗位备份方案，组织部门内部的备份培训与知识传承。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在岗员工：负责主动向备份人员传授关键业务知识、技能与工作流程。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备份人员：负责学习并掌握所备份岗位的核心工作，在备份机制启动时承担相应工作职责。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1782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公司《岗位说明书》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公司《员工工作交接管理制度》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0500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9737"/>
      <w:r>
        <w:rPr>
          <w:rFonts w:hint="eastAsia"/>
        </w:rPr>
        <w:t>人员备份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指为关键岗位预先设定具备相应能力的替代人员，以确保在原岗位人员缺勤时，其核心职责能由他人临时承接的管理机制。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7210"/>
      <w:r>
        <w:rPr>
          <w:rFonts w:hint="eastAsia"/>
        </w:rPr>
        <w:t>关键岗位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指其工作停顿将对部门或公司运营造成显著影响的岗位。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9400"/>
      <w:r>
        <w:rPr>
          <w:rFonts w:hint="eastAsia"/>
        </w:rPr>
        <w:t>备份人员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指经指定，在备份机制启动时临时接替原岗位工作的员工。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7057"/>
      <w:r>
        <w:rPr>
          <w:rFonts w:hint="eastAsia"/>
        </w:rPr>
        <w:t>备份机制启动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指当原岗位人员因预定计划（如休假）或突发情况（如急病）无法履职时，经审批后正式启动备份方案的流程。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6863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0823"/>
      <w:r>
        <w:rPr>
          <w:rFonts w:hint="default"/>
          <w:lang w:val="en-US" w:eastAsia="zh-CN"/>
        </w:rPr>
        <w:t>备份岗位的确定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各部门负责人需根据岗位的业务影响度，识别并确定本部门内的关键岗位。原则上，所有部门经理岗位及核心业务执行岗位（如运维工程师）均应纳入备份管理范畴。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534"/>
      <w:r>
        <w:rPr>
          <w:rFonts w:hint="default"/>
          <w:lang w:val="en-US" w:eastAsia="zh-CN"/>
        </w:rPr>
        <w:t>备份人员的确立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备份人员应遵循“同级备份、跨岗协作”或“上级备份下级”的原则进行指定，由部门负责人提名并确定。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每个关键岗位应至少指定一名主要备份人员和一名次要备份人员，以确保备份的可靠性。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备份关系应避免形成单向循环，并需充分考虑备份人员自身的工作负荷。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4900"/>
      <w:r>
        <w:rPr>
          <w:rFonts w:hint="default"/>
          <w:lang w:val="en-US" w:eastAsia="zh-CN"/>
        </w:rPr>
        <w:t>备份关系的备案与公布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各部门确定的备份关系需填写《关键岗位备份关系表》（附件一），报人力部审核备案。备份关系应在部门内部公布，确保相关人员知晓。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321"/>
      <w:r>
        <w:rPr>
          <w:rFonts w:hint="default"/>
          <w:lang w:val="en-US" w:eastAsia="zh-CN"/>
        </w:rPr>
        <w:t>备份培训与知识管理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各部门负责人需制定并落实备份培训计划，确保备份人员掌握所备份岗位的核心工作流程、关键系统操作及紧急事务处理办法。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在岗员工应主动整理并更新《岗位工作指引》，作为备份人员学习与参考的关键文档。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6046"/>
      <w:bookmarkStart w:id="22" w:name="_Toc22619"/>
      <w:r>
        <w:rPr>
          <w:rFonts w:hint="default"/>
          <w:lang w:val="en-US" w:eastAsia="zh-CN"/>
        </w:rPr>
        <w:t>备份机制的启动与执行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计划内缺勤（如年假）：由缺勤员工提前通知备份人员及部门负责人，做好工作交接。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突发性缺勤（如病假）：由部门负责人立即启动备份机制，通知备份人员接替工作。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备份期间，备份人员以履行原岗位核心职责为首要任务，其本职工作可适当调整优先级或由部门协调处理。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3" w:name="_Toc12080"/>
      <w:r>
        <w:rPr>
          <w:rFonts w:hint="eastAsia"/>
          <w:lang w:val="en-US" w:eastAsia="zh-CN"/>
        </w:rPr>
        <w:t>KPI指标</w:t>
      </w:r>
      <w:bookmarkEnd w:id="2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人员招聘考核指标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</w:t>
            </w: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备份</w:t>
            </w: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完成率</w:t>
            </w:r>
          </w:p>
        </w:tc>
        <w:tc>
          <w:tcPr>
            <w:tcW w:w="3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（实际备份到岗人数/计划备份人数）*100%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5347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本制度最终解释权和修订权归人力部。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31804"/>
      <w:bookmarkStart w:id="29" w:name="_Toc7851"/>
      <w:r>
        <w:rPr>
          <w:rFonts w:hint="eastAsia"/>
          <w:lang w:val="en-US" w:eastAsia="zh-CN"/>
        </w:rPr>
        <w:t>附件</w:t>
      </w:r>
      <w:bookmarkEnd w:id="28"/>
      <w:bookmarkEnd w:id="2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《关键岗位备份关系表》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9311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经审批的《关键岗位备份关系表》由人力部及各部门共同保存，随人员变动及时更新。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47342F"/>
    <w:multiLevelType w:val="singleLevel"/>
    <w:tmpl w:val="8E4734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CFE6AC"/>
    <w:multiLevelType w:val="singleLevel"/>
    <w:tmpl w:val="43CFE6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1701</Words>
  <Characters>1878</Characters>
  <Application>Microsoft Office Word</Application>
  <DocSecurity>0</DocSecurity>
  <Lines>0</Lines>
  <Paragraphs>0</Paragraphs>
  <ScaleCrop>false</ScaleCrop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