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29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112"/>
      <w:r>
        <w:rPr>
          <w:rFonts w:hint="eastAsia"/>
          <w:lang w:val="en-US" w:eastAsia="zh-CN"/>
        </w:rPr>
        <w:t>2025年度人员管理计划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文件编号：ZGS-05-10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_Toc6290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2025年度人员管理计划</w:t>
          </w:r>
          <w:r>
            <w:tab/>
          </w:r>
          <w:r>
            <w:fldChar w:fldCharType="begin"/>
          </w:r>
          <w:r>
            <w:instrText xml:space="preserve"> PAGEREF _Toc16112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公司现状与规划</w:t>
          </w:r>
          <w:r>
            <w:tab/>
          </w:r>
          <w:r>
            <w:fldChar w:fldCharType="begin"/>
          </w:r>
          <w:r>
            <w:instrText xml:space="preserve"> PAGEREF _Toc7173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_Toc12141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人员招聘管理计划</w:t>
          </w:r>
          <w:r>
            <w:tab/>
          </w:r>
          <w:r>
            <w:fldChar w:fldCharType="begin"/>
          </w:r>
          <w:r>
            <w:instrText xml:space="preserve"> PAGEREF _Toc25514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_Toc28741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_Toc12404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人员储备管理计划</w:t>
          </w:r>
          <w:r>
            <w:tab/>
          </w:r>
          <w:r>
            <w:fldChar w:fldCharType="begin"/>
          </w:r>
          <w:r>
            <w:instrText xml:space="preserve"> PAGEREF _Toc22547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_Toc5368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人员培训管理计划</w:t>
          </w:r>
          <w:r>
            <w:tab/>
          </w:r>
          <w:r>
            <w:fldChar w:fldCharType="begin"/>
          </w:r>
          <w:r>
            <w:instrText xml:space="preserve"> PAGEREF _Toc24169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_Toc7493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_Toc29591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人员绩效考核管理计划</w:t>
          </w:r>
          <w:r>
            <w:tab/>
          </w:r>
          <w:r>
            <w:fldChar w:fldCharType="begin"/>
          </w:r>
          <w:r>
            <w:instrText xml:space="preserve"> PAGEREF _Toc19107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_Toc16235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_Toc7038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人员能力评价管理计划</w:t>
          </w:r>
          <w:r>
            <w:tab/>
          </w:r>
          <w:r>
            <w:fldChar w:fldCharType="begin"/>
          </w:r>
          <w:r>
            <w:instrText xml:space="preserve"> PAGEREF _Toc8051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_Toc13495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_Toc5233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人员备份管理计划</w:t>
          </w:r>
          <w:r>
            <w:tab/>
          </w:r>
          <w:r>
            <w:fldChar w:fldCharType="begin"/>
          </w:r>
          <w:r>
            <w:instrText xml:space="preserve"> PAGEREF _Toc19941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_Toc12814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实际内容</w:t>
          </w:r>
          <w:r>
            <w:tab/>
          </w:r>
          <w:r>
            <w:fldChar w:fldCharType="begin"/>
          </w:r>
          <w:r>
            <w:instrText xml:space="preserve"> PAGEREF _Toc17588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资源保障</w:t>
          </w:r>
          <w:r>
            <w:tab/>
          </w:r>
          <w:r>
            <w:fldChar w:fldCharType="begin"/>
          </w:r>
          <w:r>
            <w:instrText xml:space="preserve"> PAGEREF _Toc15690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_Toc14370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人员保障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经费保障</w:t>
          </w:r>
          <w:r>
            <w:tab/>
          </w:r>
          <w:r>
            <w:fldChar w:fldCharType="begin"/>
          </w:r>
          <w:r>
            <w:instrText xml:space="preserve"> PAGEREF _Toc30529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173"/>
      <w:r>
        <w:rPr>
          <w:rFonts w:hint="eastAsia"/>
          <w:lang w:val="en-US" w:eastAsia="zh-CN"/>
        </w:rPr>
        <w:t>公司现状与规划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人员管理计划的核心目标是 “稳健扩容，赋能转型” 。计划将团队总规模从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人扩充至</w:t>
      </w:r>
      <w:r>
        <w:rPr>
          <w:rFonts w:hint="eastAsia"/>
          <w:lang w:val="en-US" w:eastAsia="zh-CN"/>
        </w:rPr>
        <w:t>11</w:t>
      </w:r>
      <w:r>
        <w:rPr>
          <w:rFonts w:hint="eastAsia"/>
        </w:rPr>
        <w:t>人，在控制成本的同时，精准补充关键岗位人才，初步形成运维服务业务的交付与研发能力，并建立现代化的人力资源管理流程，为公司战略转型奠定坚实的人才基础。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2141"/>
      <w:r>
        <w:rPr>
          <w:rFonts w:hint="eastAsia"/>
          <w:lang w:val="en-US" w:eastAsia="zh-CN"/>
        </w:rPr>
        <w:t>人员管理计划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5514"/>
      <w:r>
        <w:rPr>
          <w:rFonts w:hint="eastAsia"/>
          <w:lang w:val="en-US" w:eastAsia="zh-CN"/>
        </w:rPr>
        <w:t>人员招聘管理计划</w:t>
      </w:r>
      <w:bookmarkEnd w:id="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8741"/>
      <w:r>
        <w:rPr>
          <w:rFonts w:hint="eastAsia"/>
          <w:lang w:val="en-US" w:eastAsia="zh-CN"/>
        </w:rPr>
        <w:t>目的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支撑公司向IT运维服务的战略转型，解决当前团队规模与能力不足的核心矛盾，本招聘计划旨在通过分季度、有重点地引入关键岗位人才，系统性构建公司的技术服务交付、产品研发与质量管理体系，确保人才供给与业务发展节奏精准匹配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404"/>
      <w:r>
        <w:rPr>
          <w:rFonts w:hint="eastAsia"/>
          <w:lang w:val="en-US" w:eastAsia="zh-CN"/>
        </w:rPr>
        <w:t>实际内容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根据公司实际业务发展需要进行招聘。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招聘计划，如表2-1所示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4"/>
        <w:gridCol w:w="1954"/>
        <w:gridCol w:w="1704"/>
        <w:gridCol w:w="1705"/>
        <w:gridCol w:w="170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招聘岗位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质量管理专员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195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70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70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22547"/>
      <w:r>
        <w:rPr>
          <w:rFonts w:hint="eastAsia"/>
          <w:lang w:val="en-US" w:eastAsia="zh-CN"/>
        </w:rPr>
        <w:t>人员储备管理计划</w:t>
      </w:r>
      <w:bookmarkEnd w:id="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6686"/>
      <w:r>
        <w:rPr>
          <w:rFonts w:hint="eastAsia"/>
          <w:lang w:val="en-US" w:eastAsia="zh-CN"/>
        </w:rPr>
        <w:t>目的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降低关键岗位的人才流失风险，保障业务连续性与稳定性，并为企业长远发展提供可持续的领导力供给，本计划通过识别关键岗位、实施导师制与项目炼金等机制，系统性培养内部后备人才，建立公司的人才梯队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5368"/>
      <w:r>
        <w:rPr>
          <w:rFonts w:hint="eastAsia"/>
          <w:lang w:val="en-US" w:eastAsia="zh-CN"/>
        </w:rPr>
        <w:t>实际内容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公司人员储备计划如表2-2所示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人员储备计划表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080"/>
        <w:gridCol w:w="1568"/>
        <w:gridCol w:w="2872"/>
        <w:gridCol w:w="145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储备目标岗位</w:t>
            </w:r>
          </w:p>
        </w:tc>
        <w:tc>
          <w:tcPr>
            <w:tcW w:w="108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储备人次</w:t>
            </w:r>
          </w:p>
        </w:tc>
        <w:tc>
          <w:tcPr>
            <w:tcW w:w="156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储备人选来源</w:t>
            </w:r>
          </w:p>
        </w:tc>
        <w:tc>
          <w:tcPr>
            <w:tcW w:w="287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核心</w:t>
            </w: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培训</w:t>
            </w: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措施</w:t>
            </w:r>
          </w:p>
        </w:tc>
        <w:tc>
          <w:tcPr>
            <w:tcW w:w="14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计划完成时间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</w:trPr>
        <w:tc>
          <w:tcPr>
            <w:tcW w:w="154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8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2人</w:t>
            </w:r>
          </w:p>
        </w:tc>
        <w:tc>
          <w:tcPr>
            <w:tcW w:w="156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现任运维项目经理</w:t>
            </w:r>
          </w:p>
        </w:tc>
        <w:tc>
          <w:tcPr>
            <w:tcW w:w="287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导师制： 由外聘导师进行一对一领导力辅导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轮岗实践： 短期轮岗至研发部、质量部，了解全业务链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授权历练： 独立负责部门季度规划、预算编制模拟、主持重要客户会议</w:t>
            </w:r>
          </w:p>
        </w:tc>
        <w:tc>
          <w:tcPr>
            <w:tcW w:w="14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2025年8月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8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156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现任运维工程师</w:t>
            </w:r>
          </w:p>
        </w:tc>
        <w:tc>
          <w:tcPr>
            <w:tcW w:w="287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项目实践： 担任小型项目副组长，在指导下全程参与项目管理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专项培训： 参加PMP认证培训，学习项目管理方法论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参与决策： 列席项目复盘会、售前技术方案讨论会</w:t>
            </w:r>
          </w:p>
        </w:tc>
        <w:tc>
          <w:tcPr>
            <w:tcW w:w="14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</w:t>
            </w: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9</w:t>
            </w: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月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08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156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现任开发工程师</w:t>
            </w:r>
          </w:p>
        </w:tc>
        <w:tc>
          <w:tcPr>
            <w:tcW w:w="287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技术管理： 负责技术选型评审、代码规范制定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带队任务： 作为技术组长，带领小组完成一个产品模块的开发。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业务接触： 跟随项目经理参与客户需求调研，理解业务痛点</w:t>
            </w:r>
          </w:p>
        </w:tc>
        <w:tc>
          <w:tcPr>
            <w:tcW w:w="14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</w:t>
            </w: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11</w:t>
            </w: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月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4169"/>
      <w:r>
        <w:rPr>
          <w:rFonts w:hint="eastAsia"/>
          <w:lang w:val="en-US" w:eastAsia="zh-CN"/>
        </w:rPr>
        <w:t>人员培训管理计划</w:t>
      </w:r>
      <w:bookmarkEnd w:id="1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7493"/>
      <w:r>
        <w:rPr>
          <w:rFonts w:hint="eastAsia"/>
          <w:lang w:val="en-US" w:eastAsia="zh-CN"/>
        </w:rPr>
        <w:t>目的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新老员工能快速适应公司战略转型要求，提升整体专业素养与协同效率，本培训计划旨在通过系统性的赋能，统一服务思想、补齐技能短板、培养后备骨干，从而构建一支既能深入专业领域又能协同作战的复合型团队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9591"/>
      <w:r>
        <w:rPr>
          <w:rFonts w:hint="eastAsia"/>
          <w:lang w:val="en-US" w:eastAsia="zh-CN"/>
        </w:rPr>
        <w:t>实际内容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培训计划，如表2-3所示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5"/>
        <w:gridCol w:w="2935"/>
        <w:gridCol w:w="1516"/>
        <w:gridCol w:w="1516"/>
        <w:gridCol w:w="131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培训主题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主要部门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培训时间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培训方式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公司战略与文化融合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ITSS运行维护服务体系培训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运维部、质量部、人力部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技术岗位画像与面试技巧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专项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Java核心框架培训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Linux系统管理与shell脚本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硬件运维服务技能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ITSS服务质量与内审流程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IT软硬件采购流程入门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流程讲解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前端开发框架培训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线上培训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运维工具使用培训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网络安全管理培训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运维部、服务台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角色扮演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项目管理基础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运维部、研发部、质量部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线上认证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 w:val="restart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Python自动化运维脚本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内部分享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监控工具常见问题培训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服务知识管理培训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总结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93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团队管理与领导能力启蒙</w:t>
            </w:r>
          </w:p>
        </w:tc>
        <w:tc>
          <w:tcPr>
            <w:tcW w:w="15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部门经理</w:t>
            </w:r>
          </w:p>
        </w:tc>
        <w:tc>
          <w:tcPr>
            <w:tcW w:w="1516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31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培训保障机制：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预算支持：公司设立专项培训经费，用于支付外部讲师、课程费用及认证考试费。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效果评估：每次培训后通过问卷或考试进行评估，并要求受训员工进行内部分享，确保知识转化。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与绩效挂钩：将培训参与度与完成情况纳入个人年度绩效考核的“能力与行为”维度。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19107"/>
      <w:r>
        <w:rPr>
          <w:rFonts w:hint="eastAsia"/>
          <w:lang w:val="en-US" w:eastAsia="zh-CN"/>
        </w:rPr>
        <w:t>人员绩效考核管理计划</w:t>
      </w:r>
      <w:bookmarkEnd w:id="1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6235"/>
      <w:r>
        <w:rPr>
          <w:rFonts w:hint="eastAsia"/>
          <w:lang w:val="en-US" w:eastAsia="zh-CN"/>
        </w:rPr>
        <w:t>目的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驱动公司战略目标有效分解与落地，激励员工产生高价值贡献，并营造公平、公正的评估与激励环境，本绩效方案旨在建立一套与转型目标强关联、量化为主的考核体系，将个人收入与成长与公司发展紧密捆绑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7038"/>
      <w:r>
        <w:rPr>
          <w:rFonts w:hint="eastAsia"/>
          <w:lang w:val="en-US" w:eastAsia="zh-CN"/>
        </w:rPr>
        <w:t>实际内容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依据《绩效考核管理制度》每月对人员进行考核，要求绩效考核合格率达到95%以上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8051"/>
      <w:r>
        <w:rPr>
          <w:rFonts w:hint="eastAsia"/>
          <w:lang w:val="en-US" w:eastAsia="zh-CN"/>
        </w:rPr>
        <w:t>人员能力评价管理计划</w:t>
      </w:r>
      <w:bookmarkEnd w:id="1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3495"/>
      <w:r>
        <w:rPr>
          <w:rFonts w:hint="eastAsia"/>
          <w:lang w:val="en-US" w:eastAsia="zh-CN"/>
        </w:rPr>
        <w:t>目的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客观衡量员工能力水平，打通“能力-薪酬-晋升”的职业发展通道，并为培训、招聘等工作提供精准依据，本评定计划旨在建立一套标准化的岗位技能等级体系与评定流程，实现对人才能力的精准盘点与有效激励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5233"/>
      <w:r>
        <w:rPr>
          <w:rFonts w:hint="eastAsia"/>
          <w:lang w:val="en-US" w:eastAsia="zh-CN"/>
        </w:rPr>
        <w:t>实际内容</w:t>
      </w:r>
      <w:bookmarkEnd w:id="1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1" w:lineRule="auto"/>
        <w:ind w:left="14" w:firstLine="474"/>
        <w:jc w:val="both"/>
        <w:textAlignment w:val="baseline"/>
        <w:rPr>
          <w:rFonts w:ascii="宋体" w:eastAsia="宋体" w:hAnsi="宋体" w:cs="宋体" w:hint="default"/>
          <w:spacing w:val="-1"/>
          <w:sz w:val="24"/>
          <w:szCs w:val="24"/>
          <w:lang w:val="en-US"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根据《能力评价管理制度》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每季度对人员专业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能力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进行考核，要求考核合格率达到95%以上。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9941"/>
      <w:r>
        <w:rPr>
          <w:rFonts w:hint="eastAsia"/>
          <w:lang w:val="en-US" w:eastAsia="zh-CN"/>
        </w:rPr>
        <w:t>人员备份管理计划</w:t>
      </w:r>
      <w:bookmarkEnd w:id="2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2814"/>
      <w:r>
        <w:rPr>
          <w:rFonts w:hint="eastAsia"/>
          <w:lang w:val="en-US" w:eastAsia="zh-CN"/>
        </w:rPr>
        <w:t>目的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应对关键岗位员工因休假、离职、病假等突发性、短期缺席而导致的业务中断风险。其核心目标是保障当前业务运营的连续性与稳定性，确保各项工作在紧急情况下能无缝衔接，是一项业务连续性管理措施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7588"/>
      <w:r>
        <w:rPr>
          <w:rFonts w:hint="eastAsia"/>
          <w:lang w:val="en-US" w:eastAsia="zh-CN"/>
        </w:rPr>
        <w:t>实际内容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备份计划要求备份人员能在短期内（如1-4周）临时接替核心职责</w:t>
      </w:r>
      <w:r>
        <w:rPr>
          <w:rFonts w:hint="eastAsia"/>
          <w:lang w:val="en-US" w:eastAsia="zh-CN"/>
        </w:rPr>
        <w:t>。关键岗位备份情况如表2-4所示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关键岗位备份表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关键岗位</w:t>
            </w:r>
          </w:p>
        </w:tc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主要备份人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次要备份人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工作交接内容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核心联系人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审批权限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其他开发工程师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系统架构文档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代码仓库权限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采购专员</w:t>
            </w:r>
          </w:p>
        </w:tc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采购部经理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备品备件管理员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供应商联络表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both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采购清单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bookmarkStart w:id="23" w:name="bookmark14"/>
      <w:bookmarkEnd w:id="23"/>
      <w:bookmarkStart w:id="24" w:name="_Toc15690"/>
      <w:r>
        <w:rPr>
          <w:rFonts w:hint="eastAsia"/>
          <w:lang w:val="en-US" w:eastAsia="zh-CN"/>
        </w:rPr>
        <w:t>资源保障</w:t>
      </w:r>
      <w:bookmarkEnd w:id="24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bookmarkStart w:id="25" w:name="_Toc14370"/>
      <w:r>
        <w:rPr>
          <w:rFonts w:hint="eastAsia"/>
          <w:lang w:val="en-US" w:eastAsia="zh-CN"/>
        </w:rPr>
        <w:t>人员保障</w:t>
      </w:r>
      <w:bookmarkEnd w:id="25"/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人力部配备专人组织培训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各部门负责人作为本部门人员管理第一责任人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运维部指定专人负责新员工导师带教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6" w:name="_Toc30529"/>
      <w:r>
        <w:rPr>
          <w:rFonts w:hint="eastAsia"/>
          <w:lang w:val="en-US" w:eastAsia="zh-CN"/>
        </w:rPr>
        <w:t>经费保障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2283"/>
        <w:gridCol w:w="479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预算（万元）</w:t>
            </w:r>
          </w:p>
        </w:tc>
        <w:tc>
          <w:tcPr>
            <w:tcW w:w="47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招聘费用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47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招聘平台、猎头服务、招聘会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培训费用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5.0</w:t>
            </w:r>
          </w:p>
        </w:tc>
        <w:tc>
          <w:tcPr>
            <w:tcW w:w="47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外部培训、认证考试、内部讲师课酬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绩效奖励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8.0</w:t>
            </w:r>
          </w:p>
        </w:tc>
        <w:tc>
          <w:tcPr>
            <w:tcW w:w="47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年度绩效奖金、优秀员工奖励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15.0</w:t>
            </w:r>
          </w:p>
        </w:tc>
        <w:tc>
          <w:tcPr>
            <w:tcW w:w="47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F6A624D"/>
    <w:multiLevelType w:val="singleLevel"/>
    <w:tmpl w:val="AF6A624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A9CD5B4"/>
    <w:multiLevelType w:val="singleLevel"/>
    <w:tmpl w:val="BA9CD5B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3538D2FA"/>
    <w:multiLevelType w:val="singleLevel"/>
    <w:tmpl w:val="3538D2FA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2284</Words>
  <Characters>2591</Characters>
  <Application>Microsoft Office Word</Application>
  <DocSecurity>0</DocSecurity>
  <Lines>0</Lines>
  <Paragraphs>0</Paragraphs>
  <ScaleCrop>false</ScaleCrop>
  <Company/>
  <LinksUpToDate>false</LinksUpToDate>
  <CharactersWithSpaces>2659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