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781"/>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1804"/>
      <w:r>
        <w:rPr>
          <w:rFonts w:hint="eastAsia"/>
          <w:lang w:val="en-US" w:eastAsia="zh-CN"/>
        </w:rPr>
        <w:t>变更管理制度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文件编号：ZGS-06-06</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w:t>
            </w:r>
            <w:bookmarkStart w:id="2" w:name="_GoBack"/>
            <w:bookmarkEnd w:id="2"/>
            <w:r>
              <w:rPr>
                <w:rFonts w:hint="eastAsia"/>
                <w:vertAlign w:val="baseline"/>
                <w:lang w:val="en-US" w:eastAsia="zh-CN"/>
              </w:rPr>
              <w:t>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宋海滨</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rPr>
              <w:rFonts w:ascii="宋体" w:eastAsia="宋体" w:hAnsi="宋体" w:cs="宋体" w:hint="eastAsia"/>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_Toc14781 </w:instrText>
          </w:r>
          <w:r>
            <w:rPr>
              <w:rFonts w:ascii="宋体" w:eastAsia="宋体" w:hAnsi="宋体" w:cs="宋体" w:hint="eastAsia"/>
              <w:szCs w:val="24"/>
            </w:rPr>
            <w:fldChar w:fldCharType="separate"/>
          </w:r>
          <w:r>
            <w:rPr>
              <w:rFonts w:ascii="宋体" w:eastAsia="宋体" w:hAnsi="宋体" w:cs="宋体" w:hint="eastAsia"/>
              <w:lang w:val="en-US" w:eastAsia="zh-CN"/>
            </w:rPr>
            <w:t>重庆市鹧鸪哨信息技术有限责任公司</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_Toc14781 \h </w:instrText>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r>
            <w:rPr>
              <w:rFonts w:ascii="宋体" w:eastAsia="宋体" w:hAnsi="宋体" w:cs="宋体" w:hint="eastAsia"/>
              <w:szCs w:val="24"/>
            </w:rPr>
            <w:fldChar w:fldCharType="end"/>
          </w:r>
        </w:p>
        <w:p>
          <w:pPr>
            <w:pStyle w:val="TOC1"/>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_Toc11804 </w:instrText>
          </w:r>
          <w:r>
            <w:rPr>
              <w:rFonts w:ascii="宋体" w:eastAsia="宋体" w:hAnsi="宋体" w:cs="宋体" w:hint="eastAsia"/>
              <w:szCs w:val="24"/>
            </w:rPr>
            <w:fldChar w:fldCharType="separate"/>
          </w:r>
          <w:r>
            <w:rPr>
              <w:rFonts w:ascii="宋体" w:eastAsia="宋体" w:hAnsi="宋体" w:cs="宋体" w:hint="eastAsia"/>
              <w:lang w:val="en-US" w:eastAsia="zh-CN"/>
            </w:rPr>
            <w:t>变更管理制度</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_Toc11804 \h </w:instrText>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r>
            <w:rPr>
              <w:rFonts w:ascii="宋体" w:eastAsia="宋体" w:hAnsi="宋体" w:cs="宋体" w:hint="eastAsia"/>
              <w:szCs w:val="24"/>
            </w:rPr>
            <w:fldChar w:fldCharType="end"/>
          </w:r>
        </w:p>
        <w:p>
          <w:pPr>
            <w:pStyle w:val="TOC1"/>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_Toc12389 </w:instrText>
          </w:r>
          <w:r>
            <w:rPr>
              <w:rFonts w:ascii="宋体" w:eastAsia="宋体" w:hAnsi="宋体" w:cs="宋体" w:hint="eastAsia"/>
              <w:szCs w:val="24"/>
            </w:rPr>
            <w:fldChar w:fldCharType="separate"/>
          </w:r>
          <w:r>
            <w:rPr>
              <w:rFonts w:ascii="宋体" w:eastAsia="宋体" w:hAnsi="宋体" w:cs="宋体" w:hint="eastAsia"/>
            </w:rPr>
            <w:t xml:space="preserve">1. </w:t>
          </w:r>
          <w:r>
            <w:rPr>
              <w:rFonts w:ascii="宋体" w:eastAsia="宋体" w:hAnsi="宋体" w:cs="宋体" w:hint="eastAsia"/>
              <w:lang w:val="en-US" w:eastAsia="zh-CN"/>
            </w:rPr>
            <w:t>总则</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_Toc12389 \h </w:instrText>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_Toc32456 </w:instrText>
          </w:r>
          <w:r>
            <w:rPr>
              <w:rFonts w:ascii="宋体" w:eastAsia="宋体" w:hAnsi="宋体" w:cs="宋体" w:hint="eastAsia"/>
              <w:szCs w:val="24"/>
            </w:rPr>
            <w:fldChar w:fldCharType="separate"/>
          </w:r>
          <w:r>
            <w:rPr>
              <w:rFonts w:ascii="宋体" w:eastAsia="宋体" w:hAnsi="宋体" w:cs="宋体" w:hint="eastAsia"/>
              <w:lang w:val="en-US" w:eastAsia="zh-CN"/>
            </w:rPr>
            <w:t>1.1. 目的</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_Toc32456 \h </w:instrText>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_Toc31127 </w:instrText>
          </w:r>
          <w:r>
            <w:rPr>
              <w:rFonts w:ascii="宋体" w:eastAsia="宋体" w:hAnsi="宋体" w:cs="宋体" w:hint="eastAsia"/>
              <w:szCs w:val="24"/>
            </w:rPr>
            <w:fldChar w:fldCharType="separate"/>
          </w:r>
          <w:r>
            <w:rPr>
              <w:rFonts w:ascii="宋体" w:eastAsia="宋体" w:hAnsi="宋体" w:cs="宋体" w:hint="eastAsia"/>
              <w:lang w:val="en-US" w:eastAsia="zh-CN"/>
            </w:rPr>
            <w:t>1.2. 适用范围</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_Toc31127 \h </w:instrText>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_Toc26165 </w:instrText>
          </w:r>
          <w:r>
            <w:rPr>
              <w:rFonts w:ascii="宋体" w:eastAsia="宋体" w:hAnsi="宋体" w:cs="宋体" w:hint="eastAsia"/>
              <w:szCs w:val="24"/>
            </w:rPr>
            <w:fldChar w:fldCharType="separate"/>
          </w:r>
          <w:r>
            <w:rPr>
              <w:rFonts w:ascii="宋体" w:eastAsia="宋体" w:hAnsi="宋体" w:cs="宋体" w:hint="eastAsia"/>
              <w:lang w:val="en-US" w:eastAsia="zh-CN"/>
            </w:rPr>
            <w:t>1.3. 原则</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_Toc26165 \h </w:instrText>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_Toc7272 </w:instrText>
          </w:r>
          <w:r>
            <w:rPr>
              <w:rFonts w:ascii="宋体" w:eastAsia="宋体" w:hAnsi="宋体" w:cs="宋体" w:hint="eastAsia"/>
              <w:szCs w:val="24"/>
            </w:rPr>
            <w:fldChar w:fldCharType="separate"/>
          </w:r>
          <w:r>
            <w:rPr>
              <w:rFonts w:ascii="宋体" w:eastAsia="宋体" w:hAnsi="宋体" w:cs="宋体" w:hint="eastAsia"/>
              <w:lang w:val="en-US" w:eastAsia="zh-CN"/>
            </w:rPr>
            <w:t>1.4. 岗位职责</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_Toc7272 \h </w:instrText>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r>
            <w:rPr>
              <w:rFonts w:ascii="宋体" w:eastAsia="宋体" w:hAnsi="宋体" w:cs="宋体" w:hint="eastAsia"/>
              <w:szCs w:val="24"/>
            </w:rPr>
            <w:fldChar w:fldCharType="end"/>
          </w:r>
        </w:p>
        <w:p>
          <w:pPr>
            <w:pStyle w:val="TOC3"/>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_Toc3091 </w:instrText>
          </w:r>
          <w:r>
            <w:rPr>
              <w:rFonts w:ascii="宋体" w:eastAsia="宋体" w:hAnsi="宋体" w:cs="宋体" w:hint="eastAsia"/>
              <w:szCs w:val="24"/>
            </w:rPr>
            <w:fldChar w:fldCharType="separate"/>
          </w:r>
          <w:r>
            <w:rPr>
              <w:rFonts w:ascii="宋体" w:eastAsia="宋体" w:hAnsi="宋体" w:cs="宋体" w:hint="eastAsia"/>
              <w:lang w:val="en-US" w:eastAsia="zh-CN"/>
            </w:rPr>
            <w:t>1.4.1. 运维部经理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_Toc3091 \h </w:instrText>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r>
            <w:rPr>
              <w:rFonts w:ascii="宋体" w:eastAsia="宋体" w:hAnsi="宋体" w:cs="宋体" w:hint="eastAsia"/>
              <w:szCs w:val="24"/>
            </w:rPr>
            <w:fldChar w:fldCharType="end"/>
          </w:r>
        </w:p>
        <w:p>
          <w:pPr>
            <w:pStyle w:val="TOC3"/>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_Toc13049 </w:instrText>
          </w:r>
          <w:r>
            <w:rPr>
              <w:rFonts w:ascii="宋体" w:eastAsia="宋体" w:hAnsi="宋体" w:cs="宋体" w:hint="eastAsia"/>
              <w:szCs w:val="24"/>
            </w:rPr>
            <w:fldChar w:fldCharType="separate"/>
          </w:r>
          <w:r>
            <w:rPr>
              <w:rFonts w:ascii="宋体" w:eastAsia="宋体" w:hAnsi="宋体" w:cs="宋体" w:hint="eastAsia"/>
              <w:lang w:val="en-US" w:eastAsia="zh-CN"/>
            </w:rPr>
            <w:t>1.4.2. 运维工程师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_Toc13049 \h </w:instrText>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r>
            <w:rPr>
              <w:rFonts w:ascii="宋体" w:eastAsia="宋体" w:hAnsi="宋体" w:cs="宋体" w:hint="eastAsia"/>
              <w:szCs w:val="24"/>
            </w:rPr>
            <w:fldChar w:fldCharType="end"/>
          </w:r>
        </w:p>
        <w:p>
          <w:pPr>
            <w:pStyle w:val="TOC3"/>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_Toc5765 </w:instrText>
          </w:r>
          <w:r>
            <w:rPr>
              <w:rFonts w:ascii="宋体" w:eastAsia="宋体" w:hAnsi="宋体" w:cs="宋体" w:hint="eastAsia"/>
              <w:szCs w:val="24"/>
            </w:rPr>
            <w:fldChar w:fldCharType="separate"/>
          </w:r>
          <w:r>
            <w:rPr>
              <w:rFonts w:ascii="宋体" w:eastAsia="宋体" w:hAnsi="宋体" w:cs="宋体" w:hint="eastAsia"/>
              <w:lang w:val="en-US" w:eastAsia="zh-CN"/>
            </w:rPr>
            <w:t>1.4.3. 运维部</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_Toc5765 \h </w:instrText>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r>
            <w:rPr>
              <w:rFonts w:ascii="宋体" w:eastAsia="宋体" w:hAnsi="宋体" w:cs="宋体" w:hint="eastAsia"/>
              <w:szCs w:val="24"/>
            </w:rPr>
            <w:fldChar w:fldCharType="end"/>
          </w:r>
        </w:p>
        <w:p>
          <w:pPr>
            <w:pStyle w:val="TOC1"/>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_Toc30039 </w:instrText>
          </w:r>
          <w:r>
            <w:rPr>
              <w:rFonts w:ascii="宋体" w:eastAsia="宋体" w:hAnsi="宋体" w:cs="宋体" w:hint="eastAsia"/>
              <w:szCs w:val="24"/>
            </w:rPr>
            <w:fldChar w:fldCharType="separate"/>
          </w:r>
          <w:r>
            <w:rPr>
              <w:rFonts w:ascii="宋体" w:eastAsia="宋体" w:hAnsi="宋体" w:cs="宋体" w:hint="eastAsia"/>
              <w:lang w:val="en-US" w:eastAsia="zh-CN"/>
            </w:rPr>
            <w:t>2. 引用依据</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_Toc30039 \h </w:instrText>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r>
            <w:rPr>
              <w:rFonts w:ascii="宋体" w:eastAsia="宋体" w:hAnsi="宋体" w:cs="宋体" w:hint="eastAsia"/>
              <w:szCs w:val="24"/>
            </w:rPr>
            <w:fldChar w:fldCharType="end"/>
          </w:r>
        </w:p>
        <w:p>
          <w:pPr>
            <w:pStyle w:val="TOC1"/>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_Toc17910 </w:instrText>
          </w:r>
          <w:r>
            <w:rPr>
              <w:rFonts w:ascii="宋体" w:eastAsia="宋体" w:hAnsi="宋体" w:cs="宋体" w:hint="eastAsia"/>
              <w:szCs w:val="24"/>
            </w:rPr>
            <w:fldChar w:fldCharType="separate"/>
          </w:r>
          <w:r>
            <w:rPr>
              <w:rFonts w:ascii="宋体" w:eastAsia="宋体" w:hAnsi="宋体" w:cs="宋体" w:hint="eastAsia"/>
              <w:lang w:val="en-US" w:eastAsia="zh-CN"/>
            </w:rPr>
            <w:t>3. 定义与术语</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_Toc17910 \h </w:instrText>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_Toc12425 </w:instrText>
          </w:r>
          <w:r>
            <w:rPr>
              <w:rFonts w:ascii="宋体" w:eastAsia="宋体" w:hAnsi="宋体" w:cs="宋体" w:hint="eastAsia"/>
              <w:szCs w:val="24"/>
            </w:rPr>
            <w:fldChar w:fldCharType="separate"/>
          </w:r>
          <w:r>
            <w:rPr>
              <w:rFonts w:ascii="宋体" w:eastAsia="宋体" w:hAnsi="宋体" w:cs="宋体" w:hint="eastAsia"/>
              <w:lang w:val="en-US" w:eastAsia="zh-CN"/>
            </w:rPr>
            <w:t>3.1. 变更</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_Toc12425 \h </w:instrText>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_Toc12398 </w:instrText>
          </w:r>
          <w:r>
            <w:rPr>
              <w:rFonts w:ascii="宋体" w:eastAsia="宋体" w:hAnsi="宋体" w:cs="宋体" w:hint="eastAsia"/>
              <w:szCs w:val="24"/>
            </w:rPr>
            <w:fldChar w:fldCharType="separate"/>
          </w:r>
          <w:r>
            <w:rPr>
              <w:rFonts w:ascii="宋体" w:eastAsia="宋体" w:hAnsi="宋体" w:cs="宋体" w:hint="eastAsia"/>
              <w:lang w:val="en-US" w:eastAsia="zh-CN"/>
            </w:rPr>
            <w:t>3.2. 一般变更</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_Toc12398 \h </w:instrText>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_Toc13077 </w:instrText>
          </w:r>
          <w:r>
            <w:rPr>
              <w:rFonts w:ascii="宋体" w:eastAsia="宋体" w:hAnsi="宋体" w:cs="宋体" w:hint="eastAsia"/>
              <w:szCs w:val="24"/>
            </w:rPr>
            <w:fldChar w:fldCharType="separate"/>
          </w:r>
          <w:r>
            <w:rPr>
              <w:rFonts w:ascii="宋体" w:eastAsia="宋体" w:hAnsi="宋体" w:cs="宋体" w:hint="eastAsia"/>
              <w:lang w:val="en-US" w:eastAsia="zh-CN"/>
            </w:rPr>
            <w:t>3.3. 重大变更</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_Toc13077 \h </w:instrText>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_Toc8338 </w:instrText>
          </w:r>
          <w:r>
            <w:rPr>
              <w:rFonts w:ascii="宋体" w:eastAsia="宋体" w:hAnsi="宋体" w:cs="宋体" w:hint="eastAsia"/>
              <w:szCs w:val="24"/>
            </w:rPr>
            <w:fldChar w:fldCharType="separate"/>
          </w:r>
          <w:r>
            <w:rPr>
              <w:rFonts w:ascii="宋体" w:eastAsia="宋体" w:hAnsi="宋体" w:cs="宋体" w:hint="eastAsia"/>
              <w:lang w:val="en-US" w:eastAsia="zh-CN"/>
            </w:rPr>
            <w:t>3.4. 紧急变更</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_Toc8338 \h </w:instrText>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r>
            <w:rPr>
              <w:rFonts w:ascii="宋体" w:eastAsia="宋体" w:hAnsi="宋体" w:cs="宋体" w:hint="eastAsia"/>
              <w:szCs w:val="24"/>
            </w:rPr>
            <w:fldChar w:fldCharType="end"/>
          </w:r>
        </w:p>
        <w:p>
          <w:pPr>
            <w:pStyle w:val="TOC1"/>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_Toc17008 </w:instrText>
          </w:r>
          <w:r>
            <w:rPr>
              <w:rFonts w:ascii="宋体" w:eastAsia="宋体" w:hAnsi="宋体" w:cs="宋体" w:hint="eastAsia"/>
              <w:szCs w:val="24"/>
            </w:rPr>
            <w:fldChar w:fldCharType="separate"/>
          </w:r>
          <w:r>
            <w:rPr>
              <w:rFonts w:ascii="宋体" w:eastAsia="宋体" w:hAnsi="宋体" w:cs="宋体" w:hint="eastAsia"/>
              <w:lang w:val="en-US" w:eastAsia="zh-CN"/>
            </w:rPr>
            <w:t>4. 管理内容与要求</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_Toc17008 \h </w:instrText>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_Toc32193 </w:instrText>
          </w:r>
          <w:r>
            <w:rPr>
              <w:rFonts w:ascii="宋体" w:eastAsia="宋体" w:hAnsi="宋体" w:cs="宋体" w:hint="eastAsia"/>
              <w:szCs w:val="24"/>
            </w:rPr>
            <w:fldChar w:fldCharType="separate"/>
          </w:r>
          <w:r>
            <w:rPr>
              <w:rFonts w:ascii="宋体" w:eastAsia="宋体" w:hAnsi="宋体" w:cs="宋体" w:hint="eastAsia"/>
              <w:lang w:val="en-US" w:eastAsia="zh-CN"/>
            </w:rPr>
            <w:t>4.1. 变更分类与级别判定</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_Toc32193 \h </w:instrText>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_Toc2367 </w:instrText>
          </w:r>
          <w:r>
            <w:rPr>
              <w:rFonts w:ascii="宋体" w:eastAsia="宋体" w:hAnsi="宋体" w:cs="宋体" w:hint="eastAsia"/>
              <w:szCs w:val="24"/>
            </w:rPr>
            <w:fldChar w:fldCharType="separate"/>
          </w:r>
          <w:r>
            <w:rPr>
              <w:rFonts w:ascii="宋体" w:eastAsia="宋体" w:hAnsi="宋体" w:cs="宋体" w:hint="eastAsia"/>
              <w:lang w:val="en-US" w:eastAsia="zh-CN"/>
            </w:rPr>
            <w:t>4.2. 变更管理通用流程</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_Toc2367 \h </w:instrText>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r>
            <w:rPr>
              <w:rFonts w:ascii="宋体" w:eastAsia="宋体" w:hAnsi="宋体" w:cs="宋体" w:hint="eastAsia"/>
              <w:szCs w:val="24"/>
            </w:rPr>
            <w:fldChar w:fldCharType="end"/>
          </w:r>
        </w:p>
        <w:p>
          <w:pPr>
            <w:pStyle w:val="TOC3"/>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_Toc3554 </w:instrText>
          </w:r>
          <w:r>
            <w:rPr>
              <w:rFonts w:ascii="宋体" w:eastAsia="宋体" w:hAnsi="宋体" w:cs="宋体" w:hint="eastAsia"/>
              <w:szCs w:val="24"/>
            </w:rPr>
            <w:fldChar w:fldCharType="separate"/>
          </w:r>
          <w:r>
            <w:rPr>
              <w:rFonts w:ascii="宋体" w:eastAsia="宋体" w:hAnsi="宋体" w:cs="宋体" w:hint="eastAsia"/>
              <w:lang w:val="en-US" w:eastAsia="zh-CN"/>
            </w:rPr>
            <w:t>4.2.1. 变更申请</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_Toc3554 \h </w:instrText>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r>
            <w:rPr>
              <w:rFonts w:ascii="宋体" w:eastAsia="宋体" w:hAnsi="宋体" w:cs="宋体" w:hint="eastAsia"/>
              <w:szCs w:val="24"/>
            </w:rPr>
            <w:fldChar w:fldCharType="end"/>
          </w:r>
        </w:p>
        <w:p>
          <w:pPr>
            <w:pStyle w:val="TOC3"/>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_Toc11347 </w:instrText>
          </w:r>
          <w:r>
            <w:rPr>
              <w:rFonts w:ascii="宋体" w:eastAsia="宋体" w:hAnsi="宋体" w:cs="宋体" w:hint="eastAsia"/>
              <w:szCs w:val="24"/>
            </w:rPr>
            <w:fldChar w:fldCharType="separate"/>
          </w:r>
          <w:r>
            <w:rPr>
              <w:rFonts w:ascii="宋体" w:eastAsia="宋体" w:hAnsi="宋体" w:cs="宋体" w:hint="eastAsia"/>
              <w:lang w:val="en-US" w:eastAsia="zh-CN"/>
            </w:rPr>
            <w:t>4.2.2. 记录与过滤</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_Toc11347 \h </w:instrText>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r>
            <w:rPr>
              <w:rFonts w:ascii="宋体" w:eastAsia="宋体" w:hAnsi="宋体" w:cs="宋体" w:hint="eastAsia"/>
              <w:szCs w:val="24"/>
            </w:rPr>
            <w:fldChar w:fldCharType="end"/>
          </w:r>
        </w:p>
        <w:p>
          <w:pPr>
            <w:pStyle w:val="TOC3"/>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_Toc9954 </w:instrText>
          </w:r>
          <w:r>
            <w:rPr>
              <w:rFonts w:ascii="宋体" w:eastAsia="宋体" w:hAnsi="宋体" w:cs="宋体" w:hint="eastAsia"/>
              <w:szCs w:val="24"/>
            </w:rPr>
            <w:fldChar w:fldCharType="separate"/>
          </w:r>
          <w:r>
            <w:rPr>
              <w:rFonts w:ascii="宋体" w:eastAsia="宋体" w:hAnsi="宋体" w:cs="宋体" w:hint="eastAsia"/>
              <w:lang w:val="en-US" w:eastAsia="zh-CN"/>
            </w:rPr>
            <w:t>4.2.3. 评估与分类</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_Toc9954 \h </w:instrText>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r>
            <w:rPr>
              <w:rFonts w:ascii="宋体" w:eastAsia="宋体" w:hAnsi="宋体" w:cs="宋体" w:hint="eastAsia"/>
              <w:szCs w:val="24"/>
            </w:rPr>
            <w:fldChar w:fldCharType="end"/>
          </w:r>
        </w:p>
        <w:p>
          <w:pPr>
            <w:pStyle w:val="TOC3"/>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_Toc25792 </w:instrText>
          </w:r>
          <w:r>
            <w:rPr>
              <w:rFonts w:ascii="宋体" w:eastAsia="宋体" w:hAnsi="宋体" w:cs="宋体" w:hint="eastAsia"/>
              <w:szCs w:val="24"/>
            </w:rPr>
            <w:fldChar w:fldCharType="separate"/>
          </w:r>
          <w:r>
            <w:rPr>
              <w:rFonts w:ascii="宋体" w:eastAsia="宋体" w:hAnsi="宋体" w:cs="宋体" w:hint="eastAsia"/>
              <w:lang w:val="en-US" w:eastAsia="zh-CN"/>
            </w:rPr>
            <w:t>4.2.4. 审批与计划</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_Toc25792 \h </w:instrText>
          </w:r>
          <w:r>
            <w:rPr>
              <w:rFonts w:ascii="宋体" w:eastAsia="宋体" w:hAnsi="宋体" w:cs="宋体" w:hint="eastAsia"/>
            </w:rPr>
            <w:fldChar w:fldCharType="separate"/>
          </w:r>
          <w:r>
            <w:rPr>
              <w:rFonts w:ascii="宋体" w:eastAsia="宋体" w:hAnsi="宋体" w:cs="宋体" w:hint="eastAsia"/>
            </w:rPr>
            <w:t>8</w:t>
          </w:r>
          <w:r>
            <w:rPr>
              <w:rFonts w:ascii="宋体" w:eastAsia="宋体" w:hAnsi="宋体" w:cs="宋体" w:hint="eastAsia"/>
            </w:rPr>
            <w:fldChar w:fldCharType="end"/>
          </w:r>
          <w:r>
            <w:rPr>
              <w:rFonts w:ascii="宋体" w:eastAsia="宋体" w:hAnsi="宋体" w:cs="宋体" w:hint="eastAsia"/>
              <w:szCs w:val="24"/>
            </w:rPr>
            <w:fldChar w:fldCharType="end"/>
          </w:r>
        </w:p>
        <w:p>
          <w:pPr>
            <w:pStyle w:val="TOC3"/>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_Toc21753 </w:instrText>
          </w:r>
          <w:r>
            <w:rPr>
              <w:rFonts w:ascii="宋体" w:eastAsia="宋体" w:hAnsi="宋体" w:cs="宋体" w:hint="eastAsia"/>
              <w:szCs w:val="24"/>
            </w:rPr>
            <w:fldChar w:fldCharType="separate"/>
          </w:r>
          <w:r>
            <w:rPr>
              <w:rFonts w:ascii="宋体" w:eastAsia="宋体" w:hAnsi="宋体" w:cs="宋体" w:hint="eastAsia"/>
              <w:lang w:val="en-US" w:eastAsia="zh-CN"/>
            </w:rPr>
            <w:t>4.2.5. 实施与测试</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_Toc21753 \h </w:instrText>
          </w:r>
          <w:r>
            <w:rPr>
              <w:rFonts w:ascii="宋体" w:eastAsia="宋体" w:hAnsi="宋体" w:cs="宋体" w:hint="eastAsia"/>
            </w:rPr>
            <w:fldChar w:fldCharType="separate"/>
          </w:r>
          <w:r>
            <w:rPr>
              <w:rFonts w:ascii="宋体" w:eastAsia="宋体" w:hAnsi="宋体" w:cs="宋体" w:hint="eastAsia"/>
            </w:rPr>
            <w:t>8</w:t>
          </w:r>
          <w:r>
            <w:rPr>
              <w:rFonts w:ascii="宋体" w:eastAsia="宋体" w:hAnsi="宋体" w:cs="宋体" w:hint="eastAsia"/>
            </w:rPr>
            <w:fldChar w:fldCharType="end"/>
          </w:r>
          <w:r>
            <w:rPr>
              <w:rFonts w:ascii="宋体" w:eastAsia="宋体" w:hAnsi="宋体" w:cs="宋体" w:hint="eastAsia"/>
              <w:szCs w:val="24"/>
            </w:rPr>
            <w:fldChar w:fldCharType="end"/>
          </w:r>
        </w:p>
        <w:p>
          <w:pPr>
            <w:pStyle w:val="TOC3"/>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_Toc12165 </w:instrText>
          </w:r>
          <w:r>
            <w:rPr>
              <w:rFonts w:ascii="宋体" w:eastAsia="宋体" w:hAnsi="宋体" w:cs="宋体" w:hint="eastAsia"/>
              <w:szCs w:val="24"/>
            </w:rPr>
            <w:fldChar w:fldCharType="separate"/>
          </w:r>
          <w:r>
            <w:rPr>
              <w:rFonts w:ascii="宋体" w:eastAsia="宋体" w:hAnsi="宋体" w:cs="宋体" w:hint="eastAsia"/>
              <w:lang w:val="en-US" w:eastAsia="zh-CN"/>
            </w:rPr>
            <w:t>4.2.6. 回退与复盘</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_Toc12165 \h </w:instrText>
          </w:r>
          <w:r>
            <w:rPr>
              <w:rFonts w:ascii="宋体" w:eastAsia="宋体" w:hAnsi="宋体" w:cs="宋体" w:hint="eastAsia"/>
            </w:rPr>
            <w:fldChar w:fldCharType="separate"/>
          </w:r>
          <w:r>
            <w:rPr>
              <w:rFonts w:ascii="宋体" w:eastAsia="宋体" w:hAnsi="宋体" w:cs="宋体" w:hint="eastAsia"/>
            </w:rPr>
            <w:t>8</w:t>
          </w:r>
          <w:r>
            <w:rPr>
              <w:rFonts w:ascii="宋体" w:eastAsia="宋体" w:hAnsi="宋体" w:cs="宋体" w:hint="eastAsia"/>
            </w:rPr>
            <w:fldChar w:fldCharType="end"/>
          </w:r>
          <w:r>
            <w:rPr>
              <w:rFonts w:ascii="宋体" w:eastAsia="宋体" w:hAnsi="宋体" w:cs="宋体" w:hint="eastAsia"/>
              <w:szCs w:val="24"/>
            </w:rPr>
            <w:fldChar w:fldCharType="end"/>
          </w:r>
        </w:p>
        <w:p>
          <w:pPr>
            <w:pStyle w:val="TOC3"/>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_Toc25639 </w:instrText>
          </w:r>
          <w:r>
            <w:rPr>
              <w:rFonts w:ascii="宋体" w:eastAsia="宋体" w:hAnsi="宋体" w:cs="宋体" w:hint="eastAsia"/>
              <w:szCs w:val="24"/>
            </w:rPr>
            <w:fldChar w:fldCharType="separate"/>
          </w:r>
          <w:r>
            <w:rPr>
              <w:rFonts w:ascii="宋体" w:eastAsia="宋体" w:hAnsi="宋体" w:cs="宋体" w:hint="eastAsia"/>
              <w:lang w:val="en-US" w:eastAsia="zh-CN"/>
            </w:rPr>
            <w:t>4.2.7. 回顾与关闭</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_Toc25639 \h </w:instrText>
          </w:r>
          <w:r>
            <w:rPr>
              <w:rFonts w:ascii="宋体" w:eastAsia="宋体" w:hAnsi="宋体" w:cs="宋体" w:hint="eastAsia"/>
            </w:rPr>
            <w:fldChar w:fldCharType="separate"/>
          </w:r>
          <w:r>
            <w:rPr>
              <w:rFonts w:ascii="宋体" w:eastAsia="宋体" w:hAnsi="宋体" w:cs="宋体" w:hint="eastAsia"/>
            </w:rPr>
            <w:t>8</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_Toc26527 </w:instrText>
          </w:r>
          <w:r>
            <w:rPr>
              <w:rFonts w:ascii="宋体" w:eastAsia="宋体" w:hAnsi="宋体" w:cs="宋体" w:hint="eastAsia"/>
              <w:szCs w:val="24"/>
            </w:rPr>
            <w:fldChar w:fldCharType="separate"/>
          </w:r>
          <w:r>
            <w:rPr>
              <w:rFonts w:ascii="宋体" w:eastAsia="宋体" w:hAnsi="宋体" w:cs="宋体" w:hint="eastAsia"/>
              <w:lang w:val="en-US" w:eastAsia="zh-CN"/>
            </w:rPr>
            <w:t>4.3. 特定流程要求</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_Toc26527 \h </w:instrText>
          </w:r>
          <w:r>
            <w:rPr>
              <w:rFonts w:ascii="宋体" w:eastAsia="宋体" w:hAnsi="宋体" w:cs="宋体" w:hint="eastAsia"/>
            </w:rPr>
            <w:fldChar w:fldCharType="separate"/>
          </w:r>
          <w:r>
            <w:rPr>
              <w:rFonts w:ascii="宋体" w:eastAsia="宋体" w:hAnsi="宋体" w:cs="宋体" w:hint="eastAsia"/>
            </w:rPr>
            <w:t>8</w:t>
          </w:r>
          <w:r>
            <w:rPr>
              <w:rFonts w:ascii="宋体" w:eastAsia="宋体" w:hAnsi="宋体" w:cs="宋体" w:hint="eastAsia"/>
            </w:rPr>
            <w:fldChar w:fldCharType="end"/>
          </w:r>
          <w:r>
            <w:rPr>
              <w:rFonts w:ascii="宋体" w:eastAsia="宋体" w:hAnsi="宋体" w:cs="宋体" w:hint="eastAsia"/>
              <w:szCs w:val="24"/>
            </w:rPr>
            <w:fldChar w:fldCharType="end"/>
          </w:r>
        </w:p>
        <w:p>
          <w:pPr>
            <w:pStyle w:val="TOC2"/>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_Toc28299 </w:instrText>
          </w:r>
          <w:r>
            <w:rPr>
              <w:rFonts w:ascii="宋体" w:eastAsia="宋体" w:hAnsi="宋体" w:cs="宋体" w:hint="eastAsia"/>
              <w:szCs w:val="24"/>
            </w:rPr>
            <w:fldChar w:fldCharType="separate"/>
          </w:r>
          <w:r>
            <w:rPr>
              <w:rFonts w:ascii="宋体" w:eastAsia="宋体" w:hAnsi="宋体" w:cs="宋体" w:hint="eastAsia"/>
            </w:rPr>
            <w:t>4.4. 关键控制点与测量指标</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_Toc28299 \h </w:instrText>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r>
            <w:rPr>
              <w:rFonts w:ascii="宋体" w:eastAsia="宋体" w:hAnsi="宋体" w:cs="宋体" w:hint="eastAsia"/>
              <w:szCs w:val="24"/>
            </w:rPr>
            <w:fldChar w:fldCharType="end"/>
          </w:r>
        </w:p>
        <w:p>
          <w:pPr>
            <w:pStyle w:val="TOC1"/>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_Toc1403 </w:instrText>
          </w:r>
          <w:r>
            <w:rPr>
              <w:rFonts w:ascii="宋体" w:eastAsia="宋体" w:hAnsi="宋体" w:cs="宋体" w:hint="eastAsia"/>
              <w:szCs w:val="24"/>
            </w:rPr>
            <w:fldChar w:fldCharType="separate"/>
          </w:r>
          <w:r>
            <w:rPr>
              <w:rFonts w:ascii="宋体" w:eastAsia="宋体" w:hAnsi="宋体" w:cs="宋体" w:hint="eastAsia"/>
              <w:lang w:val="en-US" w:eastAsia="zh-CN"/>
            </w:rPr>
            <w:t>5. 附则</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_Toc1403 \h </w:instrText>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r>
            <w:rPr>
              <w:rFonts w:ascii="宋体" w:eastAsia="宋体" w:hAnsi="宋体" w:cs="宋体" w:hint="eastAsia"/>
              <w:szCs w:val="24"/>
            </w:rPr>
            <w:fldChar w:fldCharType="end"/>
          </w:r>
        </w:p>
        <w:p>
          <w:pPr>
            <w:pStyle w:val="TOC1"/>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_Toc24194 </w:instrText>
          </w:r>
          <w:r>
            <w:rPr>
              <w:rFonts w:ascii="宋体" w:eastAsia="宋体" w:hAnsi="宋体" w:cs="宋体" w:hint="eastAsia"/>
              <w:szCs w:val="24"/>
            </w:rPr>
            <w:fldChar w:fldCharType="separate"/>
          </w:r>
          <w:r>
            <w:rPr>
              <w:rFonts w:ascii="宋体" w:eastAsia="宋体" w:hAnsi="宋体" w:cs="宋体" w:hint="eastAsia"/>
              <w:lang w:val="en-US" w:eastAsia="zh-CN"/>
            </w:rPr>
            <w:t>6. 附件</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_Toc24194 \h </w:instrText>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r>
            <w:rPr>
              <w:rFonts w:ascii="宋体" w:eastAsia="宋体" w:hAnsi="宋体" w:cs="宋体" w:hint="eastAsia"/>
              <w:szCs w:val="24"/>
            </w:rPr>
            <w:fldChar w:fldCharType="end"/>
          </w:r>
        </w:p>
        <w:p>
          <w:pPr>
            <w:pStyle w:val="TOC1"/>
            <w:tabs>
              <w:tab w:val="right" w:leader="dot" w:pos="8306"/>
            </w:tabs>
            <w:rPr>
              <w:rFonts w:ascii="宋体" w:eastAsia="宋体" w:hAnsi="宋体" w:cs="宋体" w:hint="eastAsia"/>
            </w:rPr>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_Toc22300 </w:instrText>
          </w:r>
          <w:r>
            <w:rPr>
              <w:rFonts w:ascii="宋体" w:eastAsia="宋体" w:hAnsi="宋体" w:cs="宋体" w:hint="eastAsia"/>
              <w:szCs w:val="24"/>
            </w:rPr>
            <w:fldChar w:fldCharType="separate"/>
          </w:r>
          <w:r>
            <w:rPr>
              <w:rFonts w:ascii="宋体" w:eastAsia="宋体" w:hAnsi="宋体" w:cs="宋体" w:hint="eastAsia"/>
              <w:lang w:val="en-US" w:eastAsia="zh-CN"/>
            </w:rPr>
            <w:t>7. 记录</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_Toc22300 \h </w:instrText>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12389"/>
      <w:r>
        <w:rPr>
          <w:rFonts w:hint="eastAsia"/>
          <w:lang w:val="en-US" w:eastAsia="zh-CN"/>
        </w:rPr>
        <w:t>总则</w:t>
      </w:r>
      <w:bookmarkEnd w:id="3"/>
    </w:p>
    <w:p>
      <w:pPr>
        <w:pStyle w:val="2"/>
        <w:bidi w:val="0"/>
        <w:rPr>
          <w:rFonts w:hint="eastAsia"/>
          <w:lang w:val="en-US" w:eastAsia="zh-CN"/>
        </w:rPr>
      </w:pPr>
      <w:bookmarkStart w:id="4" w:name="_Toc32456"/>
      <w:r>
        <w:rPr>
          <w:rFonts w:hint="eastAsia"/>
          <w:lang w:val="en-US" w:eastAsia="zh-CN"/>
        </w:rPr>
        <w:t>目的</w:t>
      </w:r>
      <w:bookmarkEnd w:id="4"/>
    </w:p>
    <w:p>
      <w:pPr>
        <w:pStyle w:val="a1"/>
        <w:rPr>
          <w:rFonts w:hint="eastAsia"/>
          <w:lang w:val="en-US" w:eastAsia="zh-CN"/>
        </w:rPr>
      </w:pPr>
      <w:r>
        <w:rPr>
          <w:rFonts w:hint="eastAsia"/>
          <w:lang w:val="en-US" w:eastAsia="zh-CN"/>
        </w:rPr>
        <w:t>为规范重庆市鹧鸪哨信息技术有限责任公司运维服务中的变更管理活动，确保所有变更在受控方式下进行评估、审批与实施，杜绝非授权变更，降低变更风险及对业务运营的影响，保障服务稳定性与连续性，特制定本制度。</w:t>
      </w:r>
    </w:p>
    <w:p>
      <w:pPr>
        <w:pStyle w:val="2"/>
        <w:bidi w:val="0"/>
        <w:rPr>
          <w:rFonts w:hint="eastAsia"/>
          <w:lang w:val="en-US" w:eastAsia="zh-CN"/>
        </w:rPr>
      </w:pPr>
      <w:bookmarkStart w:id="5" w:name="_Toc31127"/>
      <w:r>
        <w:rPr>
          <w:rFonts w:hint="eastAsia"/>
          <w:lang w:val="en-US" w:eastAsia="zh-CN"/>
        </w:rPr>
        <w:t>适用范围</w:t>
      </w:r>
      <w:bookmarkEnd w:id="5"/>
    </w:p>
    <w:p>
      <w:pPr>
        <w:pStyle w:val="a1"/>
        <w:rPr>
          <w:rFonts w:hint="eastAsia"/>
          <w:lang w:val="en-US" w:eastAsia="zh-CN"/>
        </w:rPr>
      </w:pPr>
      <w:r>
        <w:rPr>
          <w:rFonts w:hint="eastAsia"/>
          <w:lang w:val="en-US" w:eastAsia="zh-CN"/>
        </w:rPr>
        <w:t>本制度适用于公司运维部及其它相关职能部门（如研发部、质量部）所管理的所有信息系统、基础设施及服务的各类变更。</w:t>
      </w:r>
    </w:p>
    <w:p>
      <w:pPr>
        <w:pStyle w:val="2"/>
        <w:bidi w:val="0"/>
        <w:rPr>
          <w:rFonts w:hint="eastAsia"/>
          <w:lang w:val="en-US" w:eastAsia="zh-CN"/>
        </w:rPr>
      </w:pPr>
      <w:bookmarkStart w:id="6" w:name="_Toc26165"/>
      <w:r>
        <w:rPr>
          <w:rFonts w:hint="eastAsia"/>
          <w:lang w:val="en-US" w:eastAsia="zh-CN"/>
        </w:rPr>
        <w:t>原则</w:t>
      </w:r>
      <w:bookmarkEnd w:id="6"/>
    </w:p>
    <w:p>
      <w:pPr>
        <w:pStyle w:val="a1"/>
        <w:numPr>
          <w:ilvl w:val="0"/>
          <w:numId w:val="2"/>
        </w:numPr>
        <w:ind w:left="425" w:hanging="425" w:leftChars="0" w:firstLineChars="0"/>
        <w:rPr>
          <w:rFonts w:hint="eastAsia"/>
          <w:lang w:val="en-US" w:eastAsia="zh-CN"/>
        </w:rPr>
      </w:pPr>
      <w:r>
        <w:rPr>
          <w:rFonts w:hint="eastAsia"/>
          <w:lang w:val="en-US" w:eastAsia="zh-CN"/>
        </w:rPr>
        <w:t>受控原则：所有变更必须遵循本流程，禁止未经授权的变更。</w:t>
      </w:r>
    </w:p>
    <w:p>
      <w:pPr>
        <w:pStyle w:val="a1"/>
        <w:numPr>
          <w:ilvl w:val="0"/>
          <w:numId w:val="2"/>
        </w:numPr>
        <w:ind w:left="425" w:hanging="425" w:leftChars="0" w:firstLineChars="0"/>
        <w:rPr>
          <w:rFonts w:hint="eastAsia"/>
          <w:lang w:val="en-US" w:eastAsia="zh-CN"/>
        </w:rPr>
      </w:pPr>
      <w:r>
        <w:rPr>
          <w:rFonts w:hint="eastAsia"/>
          <w:lang w:val="en-US" w:eastAsia="zh-CN"/>
        </w:rPr>
        <w:t>风险评估原则：所有变更必须经过评估，明确其对业务、服务及资源的影响与风险。</w:t>
      </w:r>
    </w:p>
    <w:p>
      <w:pPr>
        <w:pStyle w:val="a1"/>
        <w:numPr>
          <w:ilvl w:val="0"/>
          <w:numId w:val="2"/>
        </w:numPr>
        <w:ind w:left="425" w:hanging="425" w:leftChars="0" w:firstLineChars="0"/>
        <w:rPr>
          <w:rFonts w:hint="eastAsia"/>
          <w:lang w:val="en-US" w:eastAsia="zh-CN"/>
        </w:rPr>
      </w:pPr>
      <w:r>
        <w:rPr>
          <w:rFonts w:hint="eastAsia"/>
          <w:lang w:val="en-US" w:eastAsia="zh-CN"/>
        </w:rPr>
        <w:t>分类分级原则：根据变更影响范围与风险，实施分类、分级审批与管理。</w:t>
      </w:r>
    </w:p>
    <w:p>
      <w:pPr>
        <w:pStyle w:val="a1"/>
        <w:numPr>
          <w:ilvl w:val="0"/>
          <w:numId w:val="2"/>
        </w:numPr>
        <w:ind w:left="425" w:hanging="425" w:leftChars="0" w:firstLineChars="0"/>
        <w:rPr>
          <w:rFonts w:hint="eastAsia"/>
          <w:lang w:val="en-US" w:eastAsia="zh-CN"/>
        </w:rPr>
      </w:pPr>
      <w:r>
        <w:rPr>
          <w:rFonts w:hint="eastAsia"/>
          <w:lang w:val="en-US" w:eastAsia="zh-CN"/>
        </w:rPr>
        <w:t>记录与追溯原则：所有变更活动必须被完整记录，确保过程可追溯。</w:t>
      </w:r>
    </w:p>
    <w:p>
      <w:pPr>
        <w:pStyle w:val="2"/>
        <w:bidi w:val="0"/>
        <w:rPr>
          <w:rFonts w:hint="eastAsia"/>
          <w:lang w:val="en-US" w:eastAsia="zh-CN"/>
        </w:rPr>
      </w:pPr>
      <w:bookmarkStart w:id="7" w:name="_Toc7272"/>
      <w:r>
        <w:rPr>
          <w:rFonts w:hint="eastAsia"/>
          <w:lang w:val="en-US" w:eastAsia="zh-CN"/>
        </w:rPr>
        <w:t>岗位职责</w:t>
      </w:r>
      <w:bookmarkEnd w:id="7"/>
    </w:p>
    <w:p>
      <w:pPr>
        <w:pStyle w:val="3"/>
        <w:bidi w:val="0"/>
        <w:rPr>
          <w:rFonts w:hint="eastAsia"/>
          <w:lang w:val="en-US" w:eastAsia="zh-CN"/>
        </w:rPr>
      </w:pPr>
      <w:bookmarkStart w:id="8" w:name="_Toc3091"/>
      <w:r>
        <w:rPr>
          <w:rFonts w:hint="eastAsia"/>
          <w:lang w:val="en-US" w:eastAsia="zh-CN"/>
        </w:rPr>
        <w:t>运维部经理</w:t>
      </w:r>
      <w:bookmarkEnd w:id="8"/>
    </w:p>
    <w:p>
      <w:pPr>
        <w:pStyle w:val="a1"/>
        <w:numPr>
          <w:ilvl w:val="0"/>
          <w:numId w:val="3"/>
        </w:numPr>
        <w:ind w:left="425" w:hanging="425" w:leftChars="0" w:firstLineChars="0"/>
        <w:rPr>
          <w:rFonts w:hint="eastAsia"/>
          <w:lang w:val="en-US" w:eastAsia="zh-CN"/>
        </w:rPr>
      </w:pPr>
      <w:r>
        <w:rPr>
          <w:rFonts w:hint="eastAsia"/>
          <w:lang w:val="en-US" w:eastAsia="zh-CN"/>
        </w:rPr>
        <w:t>负责变更管理流程的整体协调与推进。</w:t>
      </w:r>
    </w:p>
    <w:p>
      <w:pPr>
        <w:pStyle w:val="a1"/>
        <w:numPr>
          <w:ilvl w:val="0"/>
          <w:numId w:val="3"/>
        </w:numPr>
        <w:ind w:left="425" w:hanging="425" w:leftChars="0" w:firstLineChars="0"/>
        <w:rPr>
          <w:rFonts w:hint="eastAsia"/>
          <w:lang w:val="en-US" w:eastAsia="zh-CN"/>
        </w:rPr>
      </w:pPr>
      <w:r>
        <w:rPr>
          <w:rFonts w:hint="eastAsia"/>
          <w:lang w:val="en-US" w:eastAsia="zh-CN"/>
        </w:rPr>
        <w:t>负责变更的接收、初步筛选、分类与记录。</w:t>
      </w:r>
    </w:p>
    <w:p>
      <w:pPr>
        <w:pStyle w:val="a1"/>
        <w:numPr>
          <w:ilvl w:val="0"/>
          <w:numId w:val="3"/>
        </w:numPr>
        <w:ind w:left="425" w:hanging="425" w:leftChars="0" w:firstLineChars="0"/>
        <w:rPr>
          <w:rFonts w:hint="eastAsia"/>
          <w:lang w:val="en-US" w:eastAsia="zh-CN"/>
        </w:rPr>
      </w:pPr>
      <w:r>
        <w:rPr>
          <w:rFonts w:hint="eastAsia"/>
          <w:lang w:val="en-US" w:eastAsia="zh-CN"/>
        </w:rPr>
        <w:t>组织或参与变更的评估，制定变更计划与方案。</w:t>
      </w:r>
    </w:p>
    <w:p>
      <w:pPr>
        <w:pStyle w:val="a1"/>
        <w:numPr>
          <w:ilvl w:val="0"/>
          <w:numId w:val="3"/>
        </w:numPr>
        <w:ind w:left="425" w:hanging="425" w:leftChars="0" w:firstLineChars="0"/>
        <w:rPr>
          <w:rFonts w:hint="eastAsia"/>
          <w:lang w:val="en-US" w:eastAsia="zh-CN"/>
        </w:rPr>
      </w:pPr>
      <w:r>
        <w:rPr>
          <w:rFonts w:hint="eastAsia"/>
          <w:lang w:val="en-US" w:eastAsia="zh-CN"/>
        </w:rPr>
        <w:t>协调资源，督促变更的实施，并负责变更的关闭与事后评审。</w:t>
      </w:r>
    </w:p>
    <w:p>
      <w:pPr>
        <w:pStyle w:val="a1"/>
        <w:numPr>
          <w:ilvl w:val="0"/>
          <w:numId w:val="3"/>
        </w:numPr>
        <w:ind w:left="425" w:hanging="425" w:leftChars="0" w:firstLineChars="0"/>
        <w:rPr>
          <w:rFonts w:hint="eastAsia"/>
          <w:lang w:val="en-US" w:eastAsia="zh-CN"/>
        </w:rPr>
      </w:pPr>
      <w:r>
        <w:rPr>
          <w:rFonts w:hint="eastAsia"/>
          <w:lang w:val="en-US" w:eastAsia="zh-CN"/>
        </w:rPr>
        <w:t>确保变更结果被准确更新至配置管理数据库（CMDB）。</w:t>
      </w:r>
    </w:p>
    <w:p>
      <w:pPr>
        <w:pStyle w:val="a1"/>
        <w:numPr>
          <w:ilvl w:val="0"/>
          <w:numId w:val="3"/>
        </w:numPr>
        <w:ind w:left="425" w:hanging="425" w:leftChars="0" w:firstLineChars="0"/>
        <w:rPr>
          <w:rFonts w:hint="eastAsia"/>
          <w:lang w:val="en-US" w:eastAsia="zh-CN"/>
        </w:rPr>
      </w:pPr>
      <w:r>
        <w:rPr>
          <w:rFonts w:hint="eastAsia"/>
          <w:lang w:val="en-US" w:eastAsia="zh-CN"/>
        </w:rPr>
        <w:t>对涉及服务级别协议（SLA）的重大变更与紧急变更进行最终确认与审批。</w:t>
      </w:r>
    </w:p>
    <w:p>
      <w:pPr>
        <w:pStyle w:val="3"/>
        <w:bidi w:val="0"/>
        <w:rPr>
          <w:rFonts w:hint="eastAsia"/>
          <w:lang w:val="en-US" w:eastAsia="zh-CN"/>
        </w:rPr>
      </w:pPr>
      <w:bookmarkStart w:id="9" w:name="_Toc13049"/>
      <w:r>
        <w:rPr>
          <w:rFonts w:hint="eastAsia"/>
          <w:lang w:val="en-US" w:eastAsia="zh-CN"/>
        </w:rPr>
        <w:t>运维工程师</w:t>
      </w:r>
      <w:bookmarkEnd w:id="9"/>
    </w:p>
    <w:p>
      <w:pPr>
        <w:pStyle w:val="a1"/>
        <w:numPr>
          <w:ilvl w:val="0"/>
          <w:numId w:val="4"/>
        </w:numPr>
        <w:ind w:left="425" w:hanging="425" w:leftChars="0" w:firstLineChars="0"/>
        <w:rPr>
          <w:rFonts w:hint="eastAsia"/>
          <w:lang w:val="en-US" w:eastAsia="zh-CN"/>
        </w:rPr>
      </w:pPr>
      <w:r>
        <w:rPr>
          <w:rFonts w:hint="eastAsia"/>
          <w:lang w:val="en-US" w:eastAsia="zh-CN"/>
        </w:rPr>
        <w:t>根据已批准的变更计划，安全、准确地执行变更操作。</w:t>
      </w:r>
    </w:p>
    <w:p>
      <w:pPr>
        <w:pStyle w:val="a1"/>
        <w:numPr>
          <w:ilvl w:val="0"/>
          <w:numId w:val="4"/>
        </w:numPr>
        <w:ind w:left="425" w:hanging="425" w:leftChars="0" w:firstLineChars="0"/>
        <w:rPr>
          <w:rFonts w:hint="eastAsia"/>
          <w:lang w:val="en-US" w:eastAsia="zh-CN"/>
        </w:rPr>
      </w:pPr>
      <w:r>
        <w:rPr>
          <w:rFonts w:hint="eastAsia"/>
          <w:lang w:val="en-US" w:eastAsia="zh-CN"/>
        </w:rPr>
        <w:t>向运维工程师汇报实施进展与结果。</w:t>
      </w:r>
    </w:p>
    <w:p>
      <w:pPr>
        <w:pStyle w:val="a1"/>
        <w:numPr>
          <w:ilvl w:val="0"/>
          <w:numId w:val="4"/>
        </w:numPr>
        <w:ind w:left="425" w:hanging="425" w:leftChars="0" w:firstLineChars="0"/>
        <w:rPr>
          <w:rFonts w:hint="eastAsia"/>
          <w:lang w:val="en-US" w:eastAsia="zh-CN"/>
        </w:rPr>
      </w:pPr>
      <w:r>
        <w:rPr>
          <w:rFonts w:hint="eastAsia"/>
          <w:lang w:val="en-US" w:eastAsia="zh-CN"/>
        </w:rPr>
        <w:t>执行变更失败时的回退方案。</w:t>
      </w:r>
    </w:p>
    <w:p>
      <w:pPr>
        <w:pStyle w:val="3"/>
        <w:bidi w:val="0"/>
        <w:rPr>
          <w:rFonts w:hint="eastAsia"/>
          <w:lang w:val="en-US" w:eastAsia="zh-CN"/>
        </w:rPr>
      </w:pPr>
      <w:bookmarkStart w:id="10" w:name="_Toc5765"/>
      <w:r>
        <w:rPr>
          <w:rFonts w:hint="eastAsia"/>
          <w:lang w:val="en-US" w:eastAsia="zh-CN"/>
        </w:rPr>
        <w:t>运维部</w:t>
      </w:r>
      <w:bookmarkEnd w:id="10"/>
    </w:p>
    <w:p>
      <w:pPr>
        <w:pStyle w:val="a1"/>
        <w:numPr>
          <w:ilvl w:val="0"/>
          <w:numId w:val="5"/>
        </w:numPr>
        <w:ind w:left="425" w:hanging="425" w:leftChars="0" w:firstLineChars="0"/>
        <w:rPr>
          <w:rFonts w:hint="eastAsia"/>
          <w:lang w:val="en-US" w:eastAsia="zh-CN"/>
        </w:rPr>
      </w:pPr>
      <w:r>
        <w:rPr>
          <w:rFonts w:hint="eastAsia"/>
          <w:lang w:val="en-US" w:eastAsia="zh-CN"/>
        </w:rPr>
        <w:t>负责对重大、紧急变更进行快速评估与审批。</w:t>
      </w:r>
    </w:p>
    <w:p>
      <w:pPr>
        <w:pStyle w:val="a1"/>
        <w:numPr>
          <w:ilvl w:val="0"/>
          <w:numId w:val="5"/>
        </w:numPr>
        <w:ind w:left="425" w:hanging="425" w:leftChars="0" w:firstLineChars="0"/>
        <w:rPr>
          <w:rFonts w:hint="eastAsia"/>
          <w:lang w:val="en-US" w:eastAsia="zh-CN"/>
        </w:rPr>
      </w:pPr>
      <w:r>
        <w:rPr>
          <w:rFonts w:hint="eastAsia"/>
          <w:lang w:val="en-US" w:eastAsia="zh-CN"/>
        </w:rPr>
        <w:t>评估变更的潜在影响、风险与资源需求。</w:t>
      </w:r>
    </w:p>
    <w:p>
      <w:pPr>
        <w:pStyle w:val="a1"/>
        <w:numPr>
          <w:ilvl w:val="0"/>
          <w:numId w:val="5"/>
        </w:numPr>
        <w:ind w:left="425" w:hanging="425" w:leftChars="0" w:firstLineChars="0"/>
        <w:rPr>
          <w:rFonts w:hint="eastAsia"/>
          <w:lang w:val="en-US" w:eastAsia="zh-CN"/>
        </w:rPr>
      </w:pPr>
      <w:r>
        <w:rPr>
          <w:rFonts w:hint="eastAsia"/>
          <w:lang w:val="en-US" w:eastAsia="zh-CN"/>
        </w:rPr>
        <w:t>协助运维工程师确定变更的优先级。</w:t>
      </w:r>
    </w:p>
    <w:p>
      <w:pPr>
        <w:pStyle w:val="1"/>
        <w:bidi w:val="0"/>
        <w:rPr>
          <w:rFonts w:hint="eastAsia"/>
          <w:lang w:val="en-US" w:eastAsia="zh-CN"/>
        </w:rPr>
      </w:pPr>
      <w:bookmarkStart w:id="11" w:name="_Toc30039"/>
      <w:r>
        <w:rPr>
          <w:rFonts w:hint="eastAsia"/>
          <w:lang w:val="en-US" w:eastAsia="zh-CN"/>
        </w:rPr>
        <w:t>引用依据</w:t>
      </w:r>
      <w:bookmarkEnd w:id="11"/>
    </w:p>
    <w:p>
      <w:pPr>
        <w:pStyle w:val="a1"/>
        <w:rPr>
          <w:rFonts w:hint="eastAsia"/>
          <w:lang w:val="en-US" w:eastAsia="zh-CN"/>
        </w:rPr>
      </w:pPr>
      <w:r>
        <w:rPr>
          <w:rFonts w:hint="eastAsia"/>
          <w:lang w:val="en-US" w:eastAsia="zh-CN"/>
        </w:rPr>
        <w:t>本制度制定引用了以下国家标准与行业规范：</w:t>
      </w:r>
    </w:p>
    <w:p>
      <w:pPr>
        <w:pStyle w:val="a1"/>
        <w:numPr>
          <w:ilvl w:val="0"/>
          <w:numId w:val="6"/>
        </w:numPr>
        <w:ind w:left="425" w:hanging="425" w:leftChars="0" w:firstLineChars="0"/>
        <w:rPr>
          <w:rFonts w:hint="eastAsia"/>
          <w:lang w:val="en-US" w:eastAsia="zh-CN"/>
        </w:rPr>
      </w:pPr>
      <w:r>
        <w:rPr>
          <w:rFonts w:hint="eastAsia"/>
          <w:lang w:val="en-US" w:eastAsia="zh-CN"/>
        </w:rPr>
        <w:t>GB/T 28827.1-2022 《信息技术服务 运行维护 第1部分：通用要求》</w:t>
      </w:r>
    </w:p>
    <w:p>
      <w:pPr>
        <w:pStyle w:val="a1"/>
        <w:numPr>
          <w:ilvl w:val="0"/>
          <w:numId w:val="6"/>
        </w:numPr>
        <w:ind w:left="425" w:hanging="425" w:leftChars="0" w:firstLineChars="0"/>
        <w:rPr>
          <w:rFonts w:hint="eastAsia"/>
          <w:lang w:val="en-US" w:eastAsia="zh-CN"/>
        </w:rPr>
      </w:pPr>
      <w:r>
        <w:rPr>
          <w:rFonts w:hint="eastAsia"/>
          <w:lang w:val="en-US" w:eastAsia="zh-CN"/>
        </w:rPr>
        <w:t>GB/T 28827.2-2012 《信息技术服务 运行维护 第2部分：交付规范》</w:t>
      </w:r>
    </w:p>
    <w:p>
      <w:pPr>
        <w:pStyle w:val="a1"/>
        <w:numPr>
          <w:ilvl w:val="0"/>
          <w:numId w:val="6"/>
        </w:numPr>
        <w:ind w:left="425" w:hanging="425" w:leftChars="0" w:firstLineChars="0"/>
        <w:rPr>
          <w:rFonts w:hint="eastAsia"/>
          <w:lang w:val="en-US" w:eastAsia="zh-CN"/>
        </w:rPr>
      </w:pPr>
      <w:r>
        <w:rPr>
          <w:rFonts w:hint="eastAsia"/>
          <w:lang w:val="en-US" w:eastAsia="zh-CN"/>
        </w:rPr>
        <w:t>GB/T 28827.3-2012 《信息技术服务 运行维护 第3部分：应急响应规范》</w:t>
      </w:r>
    </w:p>
    <w:p>
      <w:pPr>
        <w:pStyle w:val="a1"/>
        <w:numPr>
          <w:ilvl w:val="0"/>
          <w:numId w:val="6"/>
        </w:numPr>
        <w:ind w:left="425" w:hanging="425" w:leftChars="0" w:firstLineChars="0"/>
        <w:rPr>
          <w:rFonts w:hint="eastAsia"/>
          <w:lang w:val="en-US" w:eastAsia="zh-CN"/>
        </w:rPr>
      </w:pPr>
      <w:r>
        <w:rPr>
          <w:rFonts w:hint="eastAsia"/>
          <w:lang w:val="en-US" w:eastAsia="zh-CN"/>
        </w:rPr>
        <w:t>T/CESA 1299—2023 《信息技术服务 运行维护服务能力成熟度模型》</w:t>
      </w:r>
    </w:p>
    <w:p>
      <w:pPr>
        <w:pStyle w:val="1"/>
        <w:bidi w:val="0"/>
        <w:rPr>
          <w:rFonts w:hint="eastAsia"/>
          <w:lang w:val="en-US" w:eastAsia="zh-CN"/>
        </w:rPr>
      </w:pPr>
      <w:bookmarkStart w:id="12" w:name="_Toc17910"/>
      <w:r>
        <w:rPr>
          <w:rFonts w:hint="eastAsia"/>
          <w:lang w:val="en-US" w:eastAsia="zh-CN"/>
        </w:rPr>
        <w:t>定义与术语</w:t>
      </w:r>
      <w:bookmarkEnd w:id="12"/>
    </w:p>
    <w:p>
      <w:pPr>
        <w:pStyle w:val="2"/>
        <w:bidi w:val="0"/>
        <w:rPr>
          <w:rFonts w:hint="eastAsia"/>
          <w:lang w:val="en-US" w:eastAsia="zh-CN"/>
        </w:rPr>
      </w:pPr>
      <w:bookmarkStart w:id="13" w:name="_Toc12425"/>
      <w:r>
        <w:rPr>
          <w:rFonts w:hint="eastAsia"/>
          <w:lang w:val="en-US" w:eastAsia="zh-CN"/>
        </w:rPr>
        <w:t>变更</w:t>
      </w:r>
      <w:bookmarkEnd w:id="13"/>
    </w:p>
    <w:p>
      <w:pPr>
        <w:pStyle w:val="a1"/>
        <w:rPr>
          <w:rFonts w:hint="eastAsia"/>
          <w:lang w:val="en-US" w:eastAsia="zh-CN"/>
        </w:rPr>
      </w:pPr>
      <w:r>
        <w:rPr>
          <w:rFonts w:hint="eastAsia"/>
          <w:lang w:val="en-US" w:eastAsia="zh-CN"/>
        </w:rPr>
        <w:t>在运维服务过程中，对任何配置项进行的增补、移除、修改等所有改变。</w:t>
      </w:r>
    </w:p>
    <w:p>
      <w:pPr>
        <w:pStyle w:val="2"/>
        <w:bidi w:val="0"/>
        <w:rPr>
          <w:rFonts w:hint="eastAsia"/>
          <w:lang w:val="en-US" w:eastAsia="zh-CN"/>
        </w:rPr>
      </w:pPr>
      <w:bookmarkStart w:id="14" w:name="_Toc12398"/>
      <w:r>
        <w:rPr>
          <w:rFonts w:hint="eastAsia"/>
          <w:lang w:val="en-US" w:eastAsia="zh-CN"/>
        </w:rPr>
        <w:t>一般变更</w:t>
      </w:r>
      <w:bookmarkEnd w:id="14"/>
    </w:p>
    <w:p>
      <w:pPr>
        <w:pStyle w:val="a1"/>
        <w:rPr>
          <w:rFonts w:hint="eastAsia"/>
          <w:lang w:val="en-US" w:eastAsia="zh-CN"/>
        </w:rPr>
      </w:pPr>
      <w:r>
        <w:rPr>
          <w:rFonts w:hint="eastAsia"/>
          <w:lang w:val="en-US" w:eastAsia="zh-CN"/>
        </w:rPr>
        <w:t>风险与影响较低，有标准操作流程，不会对系统持续运行造成实质性影响的变更。</w:t>
      </w:r>
    </w:p>
    <w:p>
      <w:pPr>
        <w:pStyle w:val="2"/>
        <w:bidi w:val="0"/>
        <w:rPr>
          <w:rFonts w:hint="eastAsia"/>
          <w:lang w:val="en-US" w:eastAsia="zh-CN"/>
        </w:rPr>
      </w:pPr>
      <w:bookmarkStart w:id="15" w:name="_Toc13077"/>
      <w:r>
        <w:rPr>
          <w:rFonts w:hint="eastAsia"/>
          <w:lang w:val="en-US" w:eastAsia="zh-CN"/>
        </w:rPr>
        <w:t>重大变更</w:t>
      </w:r>
      <w:bookmarkEnd w:id="15"/>
    </w:p>
    <w:p>
      <w:pPr>
        <w:pStyle w:val="a1"/>
        <w:rPr>
          <w:rFonts w:hint="eastAsia"/>
          <w:lang w:val="en-US" w:eastAsia="zh-CN"/>
        </w:rPr>
      </w:pPr>
      <w:r>
        <w:rPr>
          <w:rFonts w:hint="eastAsia"/>
          <w:lang w:val="en-US" w:eastAsia="zh-CN"/>
        </w:rPr>
        <w:t>影响范围广、风险高，需要详细方案、测试及严格审批的变更，如系统架构变更、大版本升级等。</w:t>
      </w:r>
    </w:p>
    <w:p>
      <w:pPr>
        <w:pStyle w:val="2"/>
        <w:bidi w:val="0"/>
        <w:rPr>
          <w:rFonts w:hint="eastAsia"/>
          <w:lang w:val="en-US" w:eastAsia="zh-CN"/>
        </w:rPr>
      </w:pPr>
      <w:bookmarkStart w:id="16" w:name="_Toc8338"/>
      <w:r>
        <w:rPr>
          <w:rFonts w:hint="eastAsia"/>
          <w:lang w:val="en-US" w:eastAsia="zh-CN"/>
        </w:rPr>
        <w:t>紧急变更</w:t>
      </w:r>
      <w:bookmarkEnd w:id="16"/>
    </w:p>
    <w:p>
      <w:pPr>
        <w:pStyle w:val="a1"/>
        <w:rPr>
          <w:rFonts w:hint="eastAsia"/>
          <w:lang w:val="en-US" w:eastAsia="zh-CN"/>
        </w:rPr>
      </w:pPr>
      <w:r>
        <w:rPr>
          <w:rFonts w:hint="eastAsia"/>
          <w:lang w:val="en-US" w:eastAsia="zh-CN"/>
        </w:rPr>
        <w:t>为解决重大故障或满足紧急业务需求，必须立即实施的变更，其流程在保证受控的前提下予以简化。</w:t>
      </w:r>
    </w:p>
    <w:p>
      <w:pPr>
        <w:pStyle w:val="a1"/>
        <w:rPr>
          <w:rFonts w:hint="eastAsia"/>
          <w:lang w:val="en-US" w:eastAsia="zh-CN"/>
        </w:rPr>
      </w:pPr>
      <w:r>
        <w:rPr>
          <w:rFonts w:hint="eastAsia"/>
          <w:lang w:val="en-US" w:eastAsia="zh-CN"/>
        </w:rPr>
        <w:t>回退计划：当变更实施失败时，用于将系统恢复到变更前状态的详细操作方案。</w:t>
      </w:r>
    </w:p>
    <w:p>
      <w:pPr>
        <w:pStyle w:val="1"/>
        <w:bidi w:val="0"/>
        <w:rPr>
          <w:rFonts w:hint="eastAsia"/>
          <w:lang w:val="en-US" w:eastAsia="zh-CN"/>
        </w:rPr>
      </w:pPr>
      <w:bookmarkStart w:id="17" w:name="_Toc17008"/>
      <w:r>
        <w:rPr>
          <w:rFonts w:hint="eastAsia"/>
          <w:lang w:val="en-US" w:eastAsia="zh-CN"/>
        </w:rPr>
        <w:t>管理内容与要求</w:t>
      </w:r>
      <w:bookmarkEnd w:id="17"/>
    </w:p>
    <w:p>
      <w:pPr>
        <w:pStyle w:val="2"/>
        <w:bidi w:val="0"/>
        <w:rPr>
          <w:rFonts w:hint="eastAsia"/>
          <w:lang w:val="en-US" w:eastAsia="zh-CN"/>
        </w:rPr>
      </w:pPr>
      <w:bookmarkStart w:id="18" w:name="_Toc32193"/>
      <w:r>
        <w:rPr>
          <w:rFonts w:hint="eastAsia"/>
          <w:lang w:val="en-US" w:eastAsia="zh-CN"/>
        </w:rPr>
        <w:t>变更分类与级别判定</w:t>
      </w:r>
      <w:bookmarkEnd w:id="18"/>
    </w:p>
    <w:p>
      <w:pPr>
        <w:pStyle w:val="a1"/>
        <w:rPr>
          <w:rFonts w:hint="eastAsia"/>
          <w:lang w:val="en-US" w:eastAsia="zh-CN"/>
        </w:rPr>
      </w:pPr>
      <w:r>
        <w:rPr>
          <w:rFonts w:hint="eastAsia"/>
          <w:lang w:val="en-US" w:eastAsia="zh-CN"/>
        </w:rPr>
        <w:t>所有变更请求必须根据其业务影响、风险与紧急程度，按以下标准进行分类，并执行相应流程：</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73"/>
        <w:gridCol w:w="3808"/>
        <w:gridCol w:w="28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873" w:type="dxa"/>
          </w:tcPr>
          <w:p>
            <w:pPr>
              <w:pStyle w:val="a1"/>
              <w:widowControl w:val="0"/>
              <w:ind w:left="0" w:right="0" w:firstLine="0" w:leftChars="0" w:rightChars="0" w:firstLineChars="0"/>
              <w:jc w:val="center"/>
              <w:rPr>
                <w:rFonts w:hint="eastAsia"/>
                <w:vertAlign w:val="baseline"/>
                <w:lang w:val="en-US" w:eastAsia="zh-CN"/>
              </w:rPr>
            </w:pPr>
            <w:r>
              <w:rPr>
                <w:rFonts w:hint="eastAsia"/>
                <w:vertAlign w:val="baseline"/>
                <w:lang w:val="en-US" w:eastAsia="zh-CN"/>
              </w:rPr>
              <w:t>变更类型</w:t>
            </w:r>
          </w:p>
        </w:tc>
        <w:tc>
          <w:tcPr>
            <w:tcW w:w="3808" w:type="dxa"/>
          </w:tcPr>
          <w:p>
            <w:pPr>
              <w:pStyle w:val="a1"/>
              <w:widowControl w:val="0"/>
              <w:ind w:left="0" w:right="0" w:firstLine="0" w:leftChars="0" w:rightChars="0" w:firstLineChars="0"/>
              <w:jc w:val="center"/>
              <w:rPr>
                <w:rFonts w:hint="eastAsia"/>
                <w:vertAlign w:val="baseline"/>
                <w:lang w:val="en-US" w:eastAsia="zh-CN"/>
              </w:rPr>
            </w:pPr>
            <w:r>
              <w:rPr>
                <w:rFonts w:hint="eastAsia"/>
                <w:vertAlign w:val="baseline"/>
                <w:lang w:val="en-US" w:eastAsia="zh-CN"/>
              </w:rPr>
              <w:t>影响与风险</w:t>
            </w:r>
          </w:p>
        </w:tc>
        <w:tc>
          <w:tcPr>
            <w:tcW w:w="2841" w:type="dxa"/>
          </w:tcPr>
          <w:p>
            <w:pPr>
              <w:pStyle w:val="a1"/>
              <w:widowControl w:val="0"/>
              <w:ind w:left="0" w:right="0" w:firstLine="0" w:leftChars="0" w:rightChars="0" w:firstLineChars="0"/>
              <w:jc w:val="center"/>
              <w:rPr>
                <w:rFonts w:hint="eastAsia"/>
                <w:vertAlign w:val="baseline"/>
                <w:lang w:val="en-US" w:eastAsia="zh-CN"/>
              </w:rPr>
            </w:pPr>
            <w:r>
              <w:rPr>
                <w:rFonts w:hint="eastAsia"/>
                <w:vertAlign w:val="baseline"/>
                <w:lang w:val="en-US" w:eastAsia="zh-CN"/>
              </w:rPr>
              <w:t>审批要求</w:t>
            </w:r>
          </w:p>
        </w:tc>
      </w:tr>
      <w:tr>
        <w:tblPrEx>
          <w:tblW w:w="0" w:type="auto"/>
          <w:tblInd w:w="0" w:type="dxa"/>
          <w:tblCellMar>
            <w:top w:w="0" w:type="dxa"/>
            <w:left w:w="108" w:type="dxa"/>
            <w:bottom w:w="0" w:type="dxa"/>
            <w:right w:w="108" w:type="dxa"/>
          </w:tblCellMar>
        </w:tblPrEx>
        <w:tc>
          <w:tcPr>
            <w:tcW w:w="1873"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一般变更</w:t>
            </w:r>
          </w:p>
        </w:tc>
        <w:tc>
          <w:tcPr>
            <w:tcW w:w="3808" w:type="dxa"/>
          </w:tcPr>
          <w:p>
            <w:pPr>
              <w:pStyle w:val="a1"/>
              <w:widowControl w:val="0"/>
              <w:ind w:left="0" w:right="0" w:firstLine="0" w:leftChars="0" w:rightChars="0" w:firstLineChars="0"/>
              <w:jc w:val="center"/>
              <w:rPr>
                <w:rFonts w:hint="eastAsia"/>
                <w:vertAlign w:val="baseline"/>
                <w:lang w:val="en-US" w:eastAsia="zh-CN"/>
              </w:rPr>
            </w:pPr>
            <w:r>
              <w:rPr>
                <w:rFonts w:hint="eastAsia"/>
                <w:vertAlign w:val="baseline"/>
                <w:lang w:val="en-US" w:eastAsia="zh-CN"/>
              </w:rPr>
              <w:t>低风险，对服务无实质性影响</w:t>
            </w:r>
          </w:p>
        </w:tc>
        <w:tc>
          <w:tcPr>
            <w:tcW w:w="284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运维工程师审批</w:t>
            </w:r>
          </w:p>
        </w:tc>
      </w:tr>
      <w:tr>
        <w:tblPrEx>
          <w:tblW w:w="0" w:type="auto"/>
          <w:tblInd w:w="0" w:type="dxa"/>
          <w:tblCellMar>
            <w:top w:w="0" w:type="dxa"/>
            <w:left w:w="108" w:type="dxa"/>
            <w:bottom w:w="0" w:type="dxa"/>
            <w:right w:w="108" w:type="dxa"/>
          </w:tblCellMar>
        </w:tblPrEx>
        <w:tc>
          <w:tcPr>
            <w:tcW w:w="1873"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重大变更</w:t>
            </w:r>
          </w:p>
        </w:tc>
        <w:tc>
          <w:tcPr>
            <w:tcW w:w="3808" w:type="dxa"/>
          </w:tcPr>
          <w:p>
            <w:pPr>
              <w:pStyle w:val="a1"/>
              <w:widowControl w:val="0"/>
              <w:ind w:left="0" w:right="0" w:firstLine="0" w:leftChars="0" w:rightChars="0" w:firstLineChars="0"/>
              <w:jc w:val="center"/>
              <w:rPr>
                <w:rFonts w:hint="eastAsia"/>
                <w:vertAlign w:val="baseline"/>
                <w:lang w:val="en-US" w:eastAsia="zh-CN"/>
              </w:rPr>
            </w:pPr>
            <w:r>
              <w:rPr>
                <w:rFonts w:hint="eastAsia"/>
                <w:vertAlign w:val="baseline"/>
                <w:lang w:val="en-US" w:eastAsia="zh-CN"/>
              </w:rPr>
              <w:t>高风险，影响核心业务或范围广</w:t>
            </w:r>
          </w:p>
        </w:tc>
        <w:tc>
          <w:tcPr>
            <w:tcW w:w="284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运维部经理审批</w:t>
            </w:r>
          </w:p>
        </w:tc>
      </w:tr>
      <w:tr>
        <w:tblPrEx>
          <w:tblW w:w="0" w:type="auto"/>
          <w:tblInd w:w="0" w:type="dxa"/>
          <w:tblCellMar>
            <w:top w:w="0" w:type="dxa"/>
            <w:left w:w="108" w:type="dxa"/>
            <w:bottom w:w="0" w:type="dxa"/>
            <w:right w:w="108" w:type="dxa"/>
          </w:tblCellMar>
        </w:tblPrEx>
        <w:tc>
          <w:tcPr>
            <w:tcW w:w="1873"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紧急变更</w:t>
            </w:r>
          </w:p>
        </w:tc>
        <w:tc>
          <w:tcPr>
            <w:tcW w:w="3808" w:type="dxa"/>
          </w:tcPr>
          <w:p>
            <w:pPr>
              <w:pStyle w:val="a1"/>
              <w:widowControl w:val="0"/>
              <w:ind w:left="0" w:right="0" w:firstLine="0" w:leftChars="0" w:rightChars="0" w:firstLineChars="0"/>
              <w:jc w:val="center"/>
              <w:rPr>
                <w:rFonts w:hint="eastAsia"/>
                <w:vertAlign w:val="baseline"/>
                <w:lang w:val="en-US" w:eastAsia="zh-CN"/>
              </w:rPr>
            </w:pPr>
            <w:r>
              <w:rPr>
                <w:rFonts w:hint="eastAsia"/>
                <w:vertAlign w:val="baseline"/>
                <w:lang w:val="en-US" w:eastAsia="zh-CN"/>
              </w:rPr>
              <w:t>极高风险，需立即处理以恢复服务</w:t>
            </w:r>
          </w:p>
        </w:tc>
        <w:tc>
          <w:tcPr>
            <w:tcW w:w="284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运维部经理审批</w:t>
            </w:r>
          </w:p>
        </w:tc>
      </w:tr>
    </w:tbl>
    <w:p>
      <w:pPr>
        <w:pStyle w:val="2"/>
        <w:bidi w:val="0"/>
        <w:rPr>
          <w:rFonts w:hint="eastAsia"/>
          <w:lang w:val="en-US" w:eastAsia="zh-CN"/>
        </w:rPr>
      </w:pPr>
      <w:bookmarkStart w:id="19" w:name="_Toc2367"/>
      <w:r>
        <w:rPr>
          <w:rFonts w:hint="eastAsia"/>
          <w:lang w:val="en-US" w:eastAsia="zh-CN"/>
        </w:rPr>
        <w:t>变更管理通用流程</w:t>
      </w:r>
      <w:bookmarkEnd w:id="19"/>
    </w:p>
    <w:p>
      <w:pPr>
        <w:pStyle w:val="3"/>
        <w:bidi w:val="0"/>
        <w:rPr>
          <w:rFonts w:hint="eastAsia"/>
          <w:lang w:val="en-US" w:eastAsia="zh-CN"/>
        </w:rPr>
      </w:pPr>
      <w:bookmarkStart w:id="20" w:name="_Toc3554"/>
      <w:r>
        <w:rPr>
          <w:rFonts w:hint="eastAsia"/>
          <w:lang w:val="en-US" w:eastAsia="zh-CN"/>
        </w:rPr>
        <w:t>变更申请</w:t>
      </w:r>
      <w:bookmarkEnd w:id="20"/>
    </w:p>
    <w:p>
      <w:pPr>
        <w:pStyle w:val="a1"/>
        <w:rPr>
          <w:rFonts w:hint="eastAsia"/>
          <w:lang w:val="en-US" w:eastAsia="zh-CN"/>
        </w:rPr>
      </w:pPr>
      <w:r>
        <w:rPr>
          <w:rFonts w:hint="eastAsia"/>
          <w:lang w:val="en-US" w:eastAsia="zh-CN"/>
        </w:rPr>
        <w:t>由事件、问题或其他管理流程触发，提交变更请求。</w:t>
      </w:r>
    </w:p>
    <w:p>
      <w:pPr>
        <w:pStyle w:val="3"/>
        <w:bidi w:val="0"/>
        <w:rPr>
          <w:rFonts w:hint="eastAsia"/>
          <w:lang w:val="en-US" w:eastAsia="zh-CN"/>
        </w:rPr>
      </w:pPr>
      <w:bookmarkStart w:id="21" w:name="_Toc11347"/>
      <w:r>
        <w:rPr>
          <w:rFonts w:hint="eastAsia"/>
          <w:lang w:val="en-US" w:eastAsia="zh-CN"/>
        </w:rPr>
        <w:t>记录与过滤</w:t>
      </w:r>
      <w:bookmarkEnd w:id="21"/>
    </w:p>
    <w:p>
      <w:pPr>
        <w:pStyle w:val="a1"/>
        <w:rPr>
          <w:rFonts w:hint="eastAsia"/>
          <w:lang w:val="en-US" w:eastAsia="zh-CN"/>
        </w:rPr>
      </w:pPr>
      <w:r>
        <w:rPr>
          <w:rFonts w:hint="eastAsia"/>
          <w:lang w:val="en-US" w:eastAsia="zh-CN"/>
        </w:rPr>
        <w:t>运维工程师接收并记录变更请求，对不合规或超出范围的申请予以拒绝并说明原因。</w:t>
      </w:r>
    </w:p>
    <w:p>
      <w:pPr>
        <w:pStyle w:val="3"/>
        <w:bidi w:val="0"/>
        <w:rPr>
          <w:rFonts w:hint="eastAsia"/>
          <w:lang w:val="en-US" w:eastAsia="zh-CN"/>
        </w:rPr>
      </w:pPr>
      <w:bookmarkStart w:id="22" w:name="_Toc9954"/>
      <w:r>
        <w:rPr>
          <w:rFonts w:hint="eastAsia"/>
          <w:lang w:val="en-US" w:eastAsia="zh-CN"/>
        </w:rPr>
        <w:t>评估与分类</w:t>
      </w:r>
      <w:bookmarkEnd w:id="22"/>
    </w:p>
    <w:p>
      <w:pPr>
        <w:pStyle w:val="a1"/>
        <w:rPr>
          <w:rFonts w:hint="eastAsia"/>
          <w:lang w:val="en-US" w:eastAsia="zh-CN"/>
        </w:rPr>
      </w:pPr>
      <w:r>
        <w:rPr>
          <w:rFonts w:hint="eastAsia"/>
          <w:lang w:val="en-US" w:eastAsia="zh-CN"/>
        </w:rPr>
        <w:t>运维工程师对受理的变更请求进行评估，明确其影响、风险与资源需求，并进行分类。</w:t>
      </w:r>
    </w:p>
    <w:p>
      <w:pPr>
        <w:pStyle w:val="3"/>
        <w:bidi w:val="0"/>
        <w:rPr>
          <w:rFonts w:hint="eastAsia"/>
          <w:lang w:val="en-US" w:eastAsia="zh-CN"/>
        </w:rPr>
      </w:pPr>
      <w:bookmarkStart w:id="23" w:name="_Toc25792"/>
      <w:r>
        <w:rPr>
          <w:rFonts w:hint="eastAsia"/>
          <w:lang w:val="en-US" w:eastAsia="zh-CN"/>
        </w:rPr>
        <w:t>审批与计划</w:t>
      </w:r>
      <w:bookmarkEnd w:id="23"/>
    </w:p>
    <w:p>
      <w:pPr>
        <w:pStyle w:val="a1"/>
        <w:rPr>
          <w:rFonts w:hint="eastAsia"/>
          <w:lang w:val="en-US" w:eastAsia="zh-CN"/>
        </w:rPr>
      </w:pPr>
      <w:r>
        <w:rPr>
          <w:rFonts w:hint="eastAsia"/>
          <w:lang w:val="en-US" w:eastAsia="zh-CN"/>
        </w:rPr>
        <w:t>根据变更分类，进入相应审批流程。审批通过后，制定详细的变更计划、测试计划与回退计划。</w:t>
      </w:r>
    </w:p>
    <w:p>
      <w:pPr>
        <w:pStyle w:val="3"/>
        <w:bidi w:val="0"/>
        <w:rPr>
          <w:rFonts w:hint="eastAsia"/>
          <w:lang w:val="en-US" w:eastAsia="zh-CN"/>
        </w:rPr>
      </w:pPr>
      <w:bookmarkStart w:id="24" w:name="_Toc21753"/>
      <w:r>
        <w:rPr>
          <w:rFonts w:hint="eastAsia"/>
          <w:lang w:val="en-US" w:eastAsia="zh-CN"/>
        </w:rPr>
        <w:t>实施与测试</w:t>
      </w:r>
      <w:bookmarkEnd w:id="24"/>
    </w:p>
    <w:p>
      <w:pPr>
        <w:pStyle w:val="a1"/>
        <w:rPr>
          <w:rFonts w:hint="eastAsia"/>
          <w:lang w:val="en-US" w:eastAsia="zh-CN"/>
        </w:rPr>
      </w:pPr>
      <w:r>
        <w:rPr>
          <w:rFonts w:hint="eastAsia"/>
          <w:lang w:val="en-US" w:eastAsia="zh-CN"/>
        </w:rPr>
        <w:t>变更实施人员按计划在测试环境或生产环境执行变更，并进行验证测试。</w:t>
      </w:r>
    </w:p>
    <w:p>
      <w:pPr>
        <w:pStyle w:val="3"/>
        <w:bidi w:val="0"/>
        <w:rPr>
          <w:rFonts w:hint="eastAsia"/>
          <w:lang w:val="en-US" w:eastAsia="zh-CN"/>
        </w:rPr>
      </w:pPr>
      <w:bookmarkStart w:id="25" w:name="_Toc12165"/>
      <w:r>
        <w:rPr>
          <w:rFonts w:hint="eastAsia"/>
          <w:lang w:val="en-US" w:eastAsia="zh-CN"/>
        </w:rPr>
        <w:t>回退与复盘</w:t>
      </w:r>
      <w:bookmarkEnd w:id="25"/>
    </w:p>
    <w:p>
      <w:pPr>
        <w:pStyle w:val="a1"/>
        <w:numPr>
          <w:ilvl w:val="0"/>
          <w:numId w:val="7"/>
        </w:numPr>
        <w:ind w:left="425" w:hanging="425" w:leftChars="0" w:firstLineChars="0"/>
        <w:rPr>
          <w:rFonts w:hint="default"/>
          <w:lang w:val="en-US" w:eastAsia="zh-CN"/>
        </w:rPr>
      </w:pPr>
      <w:r>
        <w:rPr>
          <w:rFonts w:hint="default"/>
          <w:lang w:val="en-US" w:eastAsia="zh-CN"/>
        </w:rPr>
        <w:t>变更失败判定：若在实施或测试过程中，出现未达到预期目标、引发重大故障、或对服务造成不可接受影响等情况，则判定为变更失败。</w:t>
      </w:r>
    </w:p>
    <w:p>
      <w:pPr>
        <w:pStyle w:val="a1"/>
        <w:numPr>
          <w:ilvl w:val="0"/>
          <w:numId w:val="7"/>
        </w:numPr>
        <w:ind w:left="425" w:hanging="425" w:leftChars="0" w:firstLineChars="0"/>
        <w:rPr>
          <w:rFonts w:hint="default"/>
          <w:lang w:val="en-US" w:eastAsia="zh-CN"/>
        </w:rPr>
      </w:pPr>
      <w:r>
        <w:rPr>
          <w:rFonts w:hint="default"/>
          <w:lang w:val="en-US" w:eastAsia="zh-CN"/>
        </w:rPr>
        <w:t>执行回退计划：变更实施人员应立即启动并执行在计划阶段已制定的回退计划，将系统恢复至变更前的稳定状态，并验证回退成功。</w:t>
      </w:r>
    </w:p>
    <w:p>
      <w:pPr>
        <w:pStyle w:val="a1"/>
        <w:numPr>
          <w:ilvl w:val="0"/>
          <w:numId w:val="7"/>
        </w:numPr>
        <w:ind w:left="425" w:hanging="425" w:leftChars="0" w:firstLineChars="0"/>
        <w:rPr>
          <w:rFonts w:hint="default"/>
          <w:lang w:val="en-US" w:eastAsia="zh-CN"/>
        </w:rPr>
      </w:pPr>
      <w:r>
        <w:rPr>
          <w:rFonts w:hint="default"/>
          <w:lang w:val="en-US" w:eastAsia="zh-CN"/>
        </w:rPr>
        <w:t>启动事件管理：若变更失败已对服务造成影响，应立即按照事件管理流程上报，以快速恢复服务。</w:t>
      </w:r>
    </w:p>
    <w:p>
      <w:pPr>
        <w:pStyle w:val="a1"/>
        <w:numPr>
          <w:ilvl w:val="0"/>
          <w:numId w:val="7"/>
        </w:numPr>
        <w:ind w:left="425" w:hanging="425" w:leftChars="0" w:firstLineChars="0"/>
        <w:rPr>
          <w:rFonts w:hint="default"/>
          <w:lang w:val="en-US" w:eastAsia="zh-CN"/>
        </w:rPr>
      </w:pPr>
      <w:r>
        <w:rPr>
          <w:rFonts w:hint="default"/>
          <w:lang w:val="en-US" w:eastAsia="zh-CN"/>
        </w:rPr>
        <w:t>问题分析与记录：对变更失败的根本原因进行深入分析，记录所有细节并补充至</w:t>
      </w:r>
      <w:r>
        <w:rPr>
          <w:rFonts w:hint="eastAsia"/>
          <w:lang w:val="en-US" w:eastAsia="zh-CN"/>
        </w:rPr>
        <w:t>服务知识</w:t>
      </w:r>
      <w:r>
        <w:rPr>
          <w:rFonts w:hint="default"/>
          <w:lang w:val="en-US" w:eastAsia="zh-CN"/>
        </w:rPr>
        <w:t>，为后续的问题管理提供输入。</w:t>
      </w:r>
    </w:p>
    <w:p>
      <w:pPr>
        <w:pStyle w:val="3"/>
        <w:bidi w:val="0"/>
        <w:rPr>
          <w:rFonts w:hint="eastAsia"/>
          <w:lang w:val="en-US" w:eastAsia="zh-CN"/>
        </w:rPr>
      </w:pPr>
      <w:bookmarkStart w:id="26" w:name="_Toc25639"/>
      <w:r>
        <w:rPr>
          <w:rFonts w:hint="eastAsia"/>
          <w:lang w:val="en-US" w:eastAsia="zh-CN"/>
        </w:rPr>
        <w:t>回顾与关闭</w:t>
      </w:r>
      <w:bookmarkEnd w:id="26"/>
    </w:p>
    <w:p>
      <w:pPr>
        <w:pStyle w:val="a1"/>
        <w:rPr>
          <w:rFonts w:hint="eastAsia"/>
          <w:lang w:val="en-US" w:eastAsia="zh-CN"/>
        </w:rPr>
      </w:pPr>
      <w:r>
        <w:rPr>
          <w:rFonts w:hint="eastAsia"/>
          <w:lang w:val="en-US" w:eastAsia="zh-CN"/>
        </w:rPr>
        <w:t>变更成功后，进行回顾评审，更新配置管理数据库（CMDB）和服务知识，最后由运维工程师关闭变更。</w:t>
      </w:r>
    </w:p>
    <w:p>
      <w:pPr>
        <w:pStyle w:val="2"/>
        <w:bidi w:val="0"/>
        <w:rPr>
          <w:rFonts w:hint="eastAsia"/>
          <w:lang w:val="en-US" w:eastAsia="zh-CN"/>
        </w:rPr>
      </w:pPr>
      <w:bookmarkStart w:id="27" w:name="_Toc26527"/>
      <w:r>
        <w:rPr>
          <w:rFonts w:hint="eastAsia"/>
          <w:lang w:val="en-US" w:eastAsia="zh-CN"/>
        </w:rPr>
        <w:t>特定流程要求</w:t>
      </w:r>
      <w:bookmarkEnd w:id="27"/>
    </w:p>
    <w:p>
      <w:pPr>
        <w:pStyle w:val="a1"/>
        <w:rPr>
          <w:rFonts w:hint="eastAsia"/>
          <w:lang w:val="en-US" w:eastAsia="zh-CN"/>
        </w:rPr>
      </w:pPr>
      <w:r>
        <w:rPr>
          <w:rFonts w:hint="eastAsia"/>
          <w:lang w:val="en-US" w:eastAsia="zh-CN"/>
        </w:rPr>
        <w:t>一般变更流程：流程简化，侧重于标准操作与快速实施。</w:t>
      </w:r>
    </w:p>
    <w:p>
      <w:pPr>
        <w:pStyle w:val="a1"/>
        <w:rPr>
          <w:rFonts w:hint="eastAsia"/>
          <w:lang w:val="en-US" w:eastAsia="zh-CN"/>
        </w:rPr>
      </w:pPr>
      <w:r>
        <w:rPr>
          <w:rFonts w:hint="eastAsia"/>
          <w:lang w:val="en-US" w:eastAsia="zh-CN"/>
        </w:rPr>
        <w:t>重大变更流程：必须经过严格的测试、详细的方案评审与多层审批。</w:t>
      </w:r>
    </w:p>
    <w:p>
      <w:pPr>
        <w:pStyle w:val="a1"/>
        <w:rPr>
          <w:rFonts w:hint="eastAsia"/>
          <w:lang w:val="en-US" w:eastAsia="zh-CN"/>
        </w:rPr>
      </w:pPr>
      <w:r>
        <w:rPr>
          <w:rFonts w:hint="eastAsia"/>
          <w:lang w:val="en-US" w:eastAsia="zh-CN"/>
        </w:rPr>
        <w:t>紧急变更流程：在保障“事前审批”原则的前提下可加速，但事后必须补全所有文档并完成评审。</w:t>
      </w:r>
    </w:p>
    <w:p>
      <w:pPr>
        <w:pStyle w:val="2"/>
        <w:bidi w:val="0"/>
        <w:rPr>
          <w:rFonts w:hint="eastAsia"/>
        </w:rPr>
      </w:pPr>
      <w:bookmarkStart w:id="28" w:name="_Toc28299"/>
      <w:bookmarkStart w:id="29" w:name="_Toc14508"/>
      <w:r>
        <w:rPr>
          <w:rFonts w:hint="eastAsia"/>
        </w:rPr>
        <w:t>关键控制点与测量指标</w:t>
      </w:r>
      <w:bookmarkEnd w:id="28"/>
      <w:bookmarkEnd w:id="29"/>
    </w:p>
    <w:p>
      <w:pPr>
        <w:pStyle w:val="a1"/>
        <w:ind w:left="0" w:right="0" w:firstLine="0" w:leftChars="0" w:rightChars="0" w:firstLineChars="0"/>
        <w:jc w:val="center"/>
        <w:rPr>
          <w:rFonts w:eastAsia="宋体"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rPr>
        <w:t>过程测量指标</w:t>
      </w:r>
      <w:r>
        <w:rPr>
          <w:rFonts w:hint="eastAsia"/>
          <w:lang w:val="en-US" w:eastAsia="zh-CN"/>
        </w:rPr>
        <w:t>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705"/>
        <w:gridCol w:w="3771"/>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705"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77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705" w:type="dxa"/>
          </w:tcPr>
          <w:p>
            <w:pPr>
              <w:pStyle w:val="a1"/>
              <w:widowControl w:val="0"/>
              <w:ind w:left="0" w:firstLine="0" w:leftChars="0" w:firstLineChars="0"/>
              <w:jc w:val="left"/>
              <w:rPr>
                <w:rFonts w:eastAsia="宋体" w:hint="default"/>
                <w:sz w:val="21"/>
                <w:szCs w:val="21"/>
                <w:vertAlign w:val="baseline"/>
                <w:lang w:val="en-US" w:eastAsia="zh-CN"/>
              </w:rPr>
            </w:pPr>
            <w:r>
              <w:rPr>
                <w:rFonts w:ascii="Segoe UI" w:eastAsia="Segoe UI" w:hAnsi="Segoe UI" w:cs="Segoe UI" w:hint="eastAsia"/>
                <w:i w:val="0"/>
                <w:iCs w:val="0"/>
                <w:caps w:val="0"/>
                <w:color w:val="0F1115"/>
                <w:spacing w:val="0"/>
                <w:sz w:val="19"/>
                <w:szCs w:val="19"/>
                <w:shd w:val="clear" w:color="auto" w:fill="FFFFFF"/>
                <w:lang w:val="en-US" w:eastAsia="zh-CN"/>
              </w:rPr>
              <w:t>变更成功率</w:t>
            </w:r>
          </w:p>
        </w:tc>
        <w:tc>
          <w:tcPr>
            <w:tcW w:w="3771" w:type="dxa"/>
          </w:tcPr>
          <w:p>
            <w:pPr>
              <w:pStyle w:val="a1"/>
              <w:widowControl w:val="0"/>
              <w:ind w:left="0" w:firstLine="0" w:leftChars="0" w:firstLineChars="0"/>
              <w:jc w:val="left"/>
              <w:rPr>
                <w:rFonts w:hint="default"/>
                <w:sz w:val="21"/>
                <w:szCs w:val="21"/>
                <w:vertAlign w:val="baseline"/>
                <w:lang w:val="en-US" w:eastAsia="zh-CN"/>
              </w:rPr>
            </w:pPr>
            <w:r>
              <w:rPr>
                <w:rFonts w:ascii="Segoe UI" w:eastAsia="Segoe UI" w:hAnsi="Segoe UI" w:cs="Segoe UI"/>
                <w:i w:val="0"/>
                <w:iCs w:val="0"/>
                <w:caps w:val="0"/>
                <w:color w:val="0F1115"/>
                <w:spacing w:val="0"/>
                <w:sz w:val="19"/>
                <w:szCs w:val="19"/>
                <w:shd w:val="clear" w:color="auto" w:fill="FFFFFF"/>
              </w:rPr>
              <w:t>(变次成功次数 / 变更总次数) × 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≥95%</w:t>
            </w:r>
          </w:p>
        </w:tc>
      </w:tr>
    </w:tbl>
    <w:p>
      <w:pPr>
        <w:pStyle w:val="a1"/>
        <w:rPr>
          <w:rFonts w:hint="eastAsia"/>
          <w:lang w:val="en-US" w:eastAsia="zh-CN"/>
        </w:rPr>
      </w:pPr>
    </w:p>
    <w:p>
      <w:pPr>
        <w:pStyle w:val="1"/>
        <w:bidi w:val="0"/>
        <w:rPr>
          <w:rFonts w:hint="eastAsia"/>
          <w:lang w:val="en-US" w:eastAsia="zh-CN"/>
        </w:rPr>
      </w:pPr>
      <w:bookmarkStart w:id="30" w:name="_Toc1403"/>
      <w:r>
        <w:rPr>
          <w:rFonts w:hint="eastAsia"/>
          <w:lang w:val="en-US" w:eastAsia="zh-CN"/>
        </w:rPr>
        <w:t>附则</w:t>
      </w:r>
      <w:bookmarkEnd w:id="30"/>
    </w:p>
    <w:p>
      <w:pPr>
        <w:pStyle w:val="a1"/>
        <w:numPr>
          <w:ilvl w:val="0"/>
          <w:numId w:val="8"/>
        </w:numPr>
        <w:ind w:left="425" w:hanging="425" w:leftChars="0" w:firstLineChars="0"/>
        <w:rPr>
          <w:rFonts w:hint="eastAsia"/>
          <w:lang w:val="en-US" w:eastAsia="zh-CN"/>
        </w:rPr>
      </w:pPr>
      <w:r>
        <w:rPr>
          <w:rFonts w:hint="eastAsia"/>
          <w:lang w:val="en-US" w:eastAsia="zh-CN"/>
        </w:rPr>
        <w:t>本制度最终解释权和修订权归运维部。</w:t>
      </w:r>
    </w:p>
    <w:p>
      <w:pPr>
        <w:pStyle w:val="a1"/>
        <w:numPr>
          <w:ilvl w:val="0"/>
          <w:numId w:val="8"/>
        </w:numPr>
        <w:ind w:left="425" w:hanging="425" w:leftChars="0" w:firstLineChars="0"/>
        <w:rPr>
          <w:rFonts w:hint="eastAsia"/>
          <w:lang w:val="en-US" w:eastAsia="zh-CN"/>
        </w:rPr>
      </w:pPr>
      <w:r>
        <w:rPr>
          <w:rFonts w:hint="eastAsia"/>
          <w:lang w:val="en-US" w:eastAsia="zh-CN"/>
        </w:rPr>
        <w:t>本制度自颁布之日起施行。</w:t>
      </w:r>
    </w:p>
    <w:p>
      <w:pPr>
        <w:pStyle w:val="1"/>
        <w:bidi w:val="0"/>
        <w:rPr>
          <w:rFonts w:hint="eastAsia"/>
          <w:lang w:val="en-US" w:eastAsia="zh-CN"/>
        </w:rPr>
      </w:pPr>
      <w:bookmarkStart w:id="31" w:name="_Toc24194"/>
      <w:r>
        <w:rPr>
          <w:rFonts w:hint="eastAsia"/>
          <w:lang w:val="en-US" w:eastAsia="zh-CN"/>
        </w:rPr>
        <w:t>附件</w:t>
      </w:r>
      <w:bookmarkEnd w:id="31"/>
    </w:p>
    <w:p>
      <w:pPr>
        <w:pStyle w:val="a1"/>
        <w:numPr>
          <w:ilvl w:val="0"/>
          <w:numId w:val="9"/>
        </w:numPr>
        <w:ind w:left="425" w:hanging="425" w:leftChars="0" w:firstLineChars="0"/>
        <w:rPr>
          <w:rFonts w:hint="eastAsia"/>
          <w:lang w:val="en-US" w:eastAsia="zh-CN"/>
        </w:rPr>
      </w:pPr>
      <w:r>
        <w:rPr>
          <w:rFonts w:hint="eastAsia"/>
          <w:lang w:val="en-US" w:eastAsia="zh-CN"/>
        </w:rPr>
        <w:t>《变更申请表》</w:t>
      </w:r>
    </w:p>
    <w:p>
      <w:pPr>
        <w:pStyle w:val="a1"/>
        <w:numPr>
          <w:ilvl w:val="0"/>
          <w:numId w:val="9"/>
        </w:numPr>
        <w:ind w:left="425" w:hanging="425" w:leftChars="0" w:firstLineChars="0"/>
        <w:rPr>
          <w:rFonts w:hint="eastAsia"/>
          <w:lang w:val="en-US" w:eastAsia="zh-CN"/>
        </w:rPr>
      </w:pPr>
      <w:r>
        <w:rPr>
          <w:rFonts w:hint="eastAsia"/>
          <w:lang w:val="en-US" w:eastAsia="zh-CN"/>
        </w:rPr>
        <w:t>《变更管理表》</w:t>
      </w:r>
    </w:p>
    <w:p>
      <w:pPr>
        <w:pStyle w:val="a1"/>
        <w:numPr>
          <w:ilvl w:val="0"/>
          <w:numId w:val="9"/>
        </w:numPr>
        <w:ind w:left="425" w:hanging="425" w:leftChars="0" w:firstLineChars="0"/>
        <w:rPr>
          <w:rFonts w:hint="eastAsia"/>
          <w:lang w:val="en-US" w:eastAsia="zh-CN"/>
        </w:rPr>
      </w:pPr>
      <w:r>
        <w:rPr>
          <w:rFonts w:hint="eastAsia"/>
          <w:lang w:val="en-US" w:eastAsia="zh-CN"/>
        </w:rPr>
        <w:t>《变更方案模板》</w:t>
      </w:r>
    </w:p>
    <w:p>
      <w:pPr>
        <w:pStyle w:val="1"/>
        <w:bidi w:val="0"/>
        <w:rPr>
          <w:rFonts w:hint="eastAsia"/>
          <w:lang w:val="en-US" w:eastAsia="zh-CN"/>
        </w:rPr>
      </w:pPr>
      <w:bookmarkStart w:id="32" w:name="_Toc22300"/>
      <w:r>
        <w:rPr>
          <w:rFonts w:hint="eastAsia"/>
          <w:lang w:val="en-US" w:eastAsia="zh-CN"/>
        </w:rPr>
        <w:t>记录</w:t>
      </w:r>
      <w:bookmarkEnd w:id="32"/>
    </w:p>
    <w:p>
      <w:pPr>
        <w:pStyle w:val="a1"/>
        <w:rPr>
          <w:rFonts w:hint="eastAsia"/>
          <w:lang w:val="en-US" w:eastAsia="zh-CN"/>
        </w:rPr>
      </w:pPr>
      <w:r>
        <w:rPr>
          <w:rFonts w:hint="eastAsia"/>
          <w:lang w:val="en-US" w:eastAsia="zh-CN"/>
        </w:rPr>
        <w:t>所有变更相关的申请、评估、审批、实施、测试与回顾记录，应由运维部统一保存，保存期限不少于3年，以支持审计与服务改进。</w:t>
      </w:r>
    </w:p>
    <w:p>
      <w:pPr>
        <w:pStyle w:val="a1"/>
        <w:rPr>
          <w:rFonts w:hint="eastAsia"/>
          <w:lang w:val="en-US" w:eastAsia="zh-CN"/>
        </w:rPr>
      </w:pPr>
    </w:p>
    <w:sectPr>
      <w:headerReference w:type="even" r:id="rId6"/>
      <w:headerReference w:type="default" r:id="rId7"/>
      <w:footerReference w:type="even" r:id="rId8"/>
      <w:footerReference w:type="default" r:id="rId9"/>
      <w:headerReference w:type="first" r:id="rId10"/>
      <w:footerReference w:type="first" r:id="rId11"/>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tab/>
      <w:t>重庆市鹧鸪哨信息技术有限责任公司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AE9CB31"/>
    <w:multiLevelType w:val="singleLevel"/>
    <w:tmpl w:val="8AE9CB31"/>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BA6D4CC4"/>
    <w:multiLevelType w:val="singleLevel"/>
    <w:tmpl w:val="BA6D4CC4"/>
    <w:lvl w:ilvl="0">
      <w:start w:val="1"/>
      <w:numFmt w:val="decimal"/>
      <w:lvlText w:val="%1."/>
      <w:lvlJc w:val="left"/>
      <w:pPr>
        <w:ind w:left="425" w:hanging="425"/>
      </w:pPr>
      <w:rPr>
        <w:rFonts w:hint="default"/>
      </w:rPr>
    </w:lvl>
  </w:abstractNum>
  <w:abstractNum w:abstractNumId="3">
    <w:nsid w:val="C48F51A4"/>
    <w:multiLevelType w:val="singleLevel"/>
    <w:tmpl w:val="C48F51A4"/>
    <w:lvl w:ilvl="0">
      <w:start w:val="1"/>
      <w:numFmt w:val="decimal"/>
      <w:lvlText w:val="%1."/>
      <w:lvlJc w:val="left"/>
      <w:pPr>
        <w:ind w:left="425" w:hanging="425"/>
      </w:pPr>
      <w:rPr>
        <w:rFonts w:hint="default"/>
      </w:rPr>
    </w:lvl>
  </w:abstractNum>
  <w:abstractNum w:abstractNumId="4">
    <w:nsid w:val="CAC7FB99"/>
    <w:multiLevelType w:val="singleLevel"/>
    <w:tmpl w:val="CAC7FB99"/>
    <w:lvl w:ilvl="0">
      <w:start w:val="1"/>
      <w:numFmt w:val="decimal"/>
      <w:lvlText w:val="%1."/>
      <w:lvlJc w:val="left"/>
      <w:pPr>
        <w:ind w:left="425" w:hanging="425"/>
      </w:pPr>
      <w:rPr>
        <w:rFonts w:hint="default"/>
      </w:rPr>
    </w:lvl>
  </w:abstractNum>
  <w:abstractNum w:abstractNumId="5">
    <w:nsid w:val="DEF06DD2"/>
    <w:multiLevelType w:val="singleLevel"/>
    <w:tmpl w:val="DEF06DD2"/>
    <w:lvl w:ilvl="0">
      <w:start w:val="1"/>
      <w:numFmt w:val="decimal"/>
      <w:lvlText w:val="%1."/>
      <w:lvlJc w:val="left"/>
      <w:pPr>
        <w:ind w:left="425" w:hanging="425"/>
      </w:pPr>
      <w:rPr>
        <w:rFonts w:hint="default"/>
      </w:rPr>
    </w:lvl>
  </w:abstractNum>
  <w:abstractNum w:abstractNumId="6">
    <w:nsid w:val="2490C729"/>
    <w:multiLevelType w:val="singleLevel"/>
    <w:tmpl w:val="2490C729"/>
    <w:lvl w:ilvl="0">
      <w:start w:val="1"/>
      <w:numFmt w:val="decimal"/>
      <w:lvlText w:val="%1."/>
      <w:lvlJc w:val="left"/>
      <w:pPr>
        <w:ind w:left="425" w:hanging="425"/>
      </w:pPr>
      <w:rPr>
        <w:rFonts w:hint="default"/>
      </w:rPr>
    </w:lvl>
  </w:abstractNum>
  <w:abstractNum w:abstractNumId="7">
    <w:nsid w:val="342AFCC8"/>
    <w:multiLevelType w:val="singleLevel"/>
    <w:tmpl w:val="342AFCC8"/>
    <w:lvl w:ilvl="0">
      <w:start w:val="1"/>
      <w:numFmt w:val="decimal"/>
      <w:lvlText w:val="%1."/>
      <w:lvlJc w:val="left"/>
      <w:pPr>
        <w:ind w:left="425" w:hanging="425"/>
      </w:pPr>
      <w:rPr>
        <w:rFonts w:hint="default"/>
      </w:rPr>
    </w:lvl>
  </w:abstractNum>
  <w:abstractNum w:abstractNumId="8">
    <w:nsid w:val="4A1C11A3"/>
    <w:multiLevelType w:val="singleLevel"/>
    <w:tmpl w:val="4A1C11A3"/>
    <w:lvl w:ilvl="0">
      <w:start w:val="1"/>
      <w:numFmt w:val="decimal"/>
      <w:lvlText w:val="%1."/>
      <w:lvlJc w:val="left"/>
      <w:pPr>
        <w:ind w:left="425" w:hanging="425"/>
      </w:pPr>
      <w:rPr>
        <w:rFonts w:hint="default"/>
      </w:rPr>
    </w:lvl>
  </w:abstractNum>
  <w:num w:numId="1">
    <w:abstractNumId w:val="1"/>
  </w:num>
  <w:num w:numId="2">
    <w:abstractNumId w:val="2"/>
  </w:num>
  <w:num w:numId="3">
    <w:abstractNumId w:val="5"/>
  </w:num>
  <w:num w:numId="4">
    <w:abstractNumId w:val="8"/>
  </w:num>
  <w:num w:numId="5">
    <w:abstractNumId w:val="4"/>
  </w:num>
  <w:num w:numId="6">
    <w:abstractNumId w:val="6"/>
  </w:num>
  <w:num w:numId="7">
    <w:abstractNumId w:val="7"/>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2063</Words>
  <Characters>2279</Characters>
  <Application>Microsoft Office Word</Application>
  <DocSecurity>0</DocSecurity>
  <Lines>0</Lines>
  <Paragraphs>0</Paragraphs>
  <ScaleCrop>false</ScaleCrop>
  <Company/>
  <LinksUpToDate>false</LinksUpToDate>
  <CharactersWithSpaces>2358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2026-05-25T03:42:01Z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