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94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87"/>
      <w:r>
        <w:rPr>
          <w:rFonts w:hint="eastAsia"/>
          <w:lang w:val="en-US" w:eastAsia="zh-CN"/>
        </w:rPr>
        <w:t>配置管理制度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文件编号：ZGS-06-08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_Toc28945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_Toc10206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_Toc6473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_Toc32017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_Toc24262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配置管理数据库</w:t>
          </w:r>
          <w:r>
            <w:tab/>
          </w:r>
          <w:r>
            <w:fldChar w:fldCharType="begin"/>
          </w:r>
          <w:r>
            <w:instrText xml:space="preserve"> PAGEREF _Toc21265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配置基线</w:t>
          </w:r>
          <w:r>
            <w:tab/>
          </w:r>
          <w:r>
            <w:fldChar w:fldCharType="begin"/>
          </w:r>
          <w:r>
            <w:instrText xml:space="preserve"> PAGEREF _Toc2332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配置管理策略</w:t>
          </w:r>
          <w:r>
            <w:tab/>
          </w:r>
          <w:r>
            <w:fldChar w:fldCharType="begin"/>
          </w:r>
          <w:r>
            <w:instrText xml:space="preserve"> PAGEREF _Toc1493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配置管理范围定义</w:t>
          </w:r>
          <w:r>
            <w:tab/>
          </w:r>
          <w:r>
            <w:fldChar w:fldCharType="begin"/>
          </w:r>
          <w:r>
            <w:instrText xml:space="preserve"> PAGEREF _Toc1251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命名规范与属性定义</w:t>
          </w:r>
          <w:r>
            <w:tab/>
          </w:r>
          <w:r>
            <w:fldChar w:fldCharType="begin"/>
          </w:r>
          <w:r>
            <w:instrText xml:space="preserve"> PAGEREF _Toc9700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配置项识别与定义</w:t>
          </w:r>
          <w:r>
            <w:tab/>
          </w:r>
          <w:r>
            <w:fldChar w:fldCharType="begin"/>
          </w:r>
          <w:r>
            <w:instrText xml:space="preserve"> PAGEREF _Toc12240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配置项识别流程</w:t>
          </w:r>
          <w:r>
            <w:tab/>
          </w:r>
          <w:r>
            <w:fldChar w:fldCharType="begin"/>
          </w:r>
          <w:r>
            <w:instrText xml:space="preserve"> PAGEREF _Toc13554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配置项属性管理</w:t>
          </w:r>
          <w:r>
            <w:tab/>
          </w:r>
          <w:r>
            <w:fldChar w:fldCharType="begin"/>
          </w:r>
          <w:r>
            <w:instrText xml:space="preserve"> PAGEREF _Toc16334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CMDB建设与维护</w:t>
          </w:r>
          <w:r>
            <w:tab/>
          </w:r>
          <w:r>
            <w:fldChar w:fldCharType="begin"/>
          </w:r>
          <w:r>
            <w:instrText xml:space="preserve"> PAGEREF _Toc1951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CMDB初始化</w:t>
          </w:r>
          <w:r>
            <w:tab/>
          </w:r>
          <w:r>
            <w:fldChar w:fldCharType="begin"/>
          </w:r>
          <w:r>
            <w:instrText xml:space="preserve"> PAGEREF _Toc4465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日常维护流程</w:t>
          </w:r>
          <w:r>
            <w:tab/>
          </w:r>
          <w:r>
            <w:fldChar w:fldCharType="begin"/>
          </w:r>
          <w:r>
            <w:instrText xml:space="preserve"> PAGEREF _Toc16606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配置变更控制</w:t>
          </w:r>
          <w:r>
            <w:tab/>
          </w:r>
          <w:r>
            <w:fldChar w:fldCharType="begin"/>
          </w:r>
          <w:r>
            <w:instrText xml:space="preserve"> PAGEREF _Toc14815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变更触发机制</w:t>
          </w:r>
          <w:r>
            <w:tab/>
          </w:r>
          <w:r>
            <w:fldChar w:fldCharType="begin"/>
          </w:r>
          <w:r>
            <w:instrText xml:space="preserve"> PAGEREF _Toc12083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变更验证流程</w:t>
          </w:r>
          <w:r>
            <w:tab/>
          </w:r>
          <w:r>
            <w:fldChar w:fldCharType="begin"/>
          </w:r>
          <w:r>
            <w:instrText xml:space="preserve"> PAGEREF _Toc2974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配置状态报告</w:t>
          </w:r>
          <w:r>
            <w:tab/>
          </w:r>
          <w:r>
            <w:fldChar w:fldCharType="begin"/>
          </w:r>
          <w:r>
            <w:instrText xml:space="preserve"> PAGEREF _Toc26842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报告类型与内容</w:t>
          </w:r>
          <w:r>
            <w:tab/>
          </w:r>
          <w:r>
            <w:fldChar w:fldCharType="begin"/>
          </w:r>
          <w:r>
            <w:instrText xml:space="preserve"> PAGEREF _Toc17054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报告分发与使用</w:t>
          </w:r>
          <w:r>
            <w:tab/>
          </w:r>
          <w:r>
            <w:fldChar w:fldCharType="begin"/>
          </w:r>
          <w:r>
            <w:instrText xml:space="preserve"> PAGEREF _Toc17948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配置审计与改进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审计计划与执行</w:t>
          </w:r>
          <w:r>
            <w:tab/>
          </w:r>
          <w:r>
            <w:fldChar w:fldCharType="begin"/>
          </w:r>
          <w:r>
            <w:instrText xml:space="preserve"> PAGEREF _Toc4961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问题跟踪与改进</w:t>
          </w:r>
          <w:r>
            <w:tab/>
          </w:r>
          <w:r>
            <w:fldChar w:fldCharType="begin"/>
          </w:r>
          <w:r>
            <w:instrText xml:space="preserve"> PAGEREF _Toc23789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关键控制点与测量指标</w:t>
          </w:r>
          <w:r>
            <w:tab/>
          </w:r>
          <w:r>
            <w:fldChar w:fldCharType="begin"/>
          </w:r>
          <w:r>
            <w:instrText xml:space="preserve"> PAGEREF _Toc24767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关键控制点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4.7.2.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_Toc17174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125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020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为规范重庆市鹧鸪哨信息技术有限责任公司运维服务的配置管理，通过识别、控制、维护与验证所有配置项，提供一个统一、一致的管理流程，以确保服务环境中所有组件的完整性、准确性和可追溯性，从而支撑服务的稳定运行与高效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647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本制度适用于公司运维部，管理范围涵盖所有依据ITSS服务目录定义的，为交付运维服务所必需的硬件、软件、文档及服务等配置项。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33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统一管理原则：所有配置项必须遵循统一的命名、属性和关系定义规范。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准确可靠原则：配置管理数据库（CMDB）中的数据必须真实、准确地反映实际环境。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受控变更原则：配置项的任何变更必须经由变更管理流程触发，确保状态可控。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持续审计原则：定期对配置项进行审计，确保CMDB数据的完整性。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787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2017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负责定义、维护并推广配置管理流程及相关模板。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管理配置管理流程的实施，确保其目标达成。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识别流程改进机会并推动优化。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定期组织配置审计，并负责批准建立配置基线。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820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负责配置管理数据库（CMDB）的建立、日常控制与维护。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确保配置管理数据的完整性与准确性，为其他流程提供可靠信息。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执行配置项数据的定期审计与评估。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负责定期生成配置状态报告。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391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00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24262"/>
      <w:r>
        <w:rPr>
          <w:rFonts w:hint="eastAsia"/>
        </w:rPr>
        <w:t>配置项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为交付运维服务所必需的、能够被独立管理的基本单元，包括硬件、软件、文档及服务等。</w:t>
      </w:r>
    </w:p>
    <w:p>
      <w:pPr>
        <w:pStyle w:val="2"/>
        <w:bidi w:val="0"/>
        <w:rPr>
          <w:rFonts w:hint="eastAsia"/>
        </w:rPr>
      </w:pPr>
      <w:bookmarkStart w:id="13" w:name="_Toc21265"/>
      <w:r>
        <w:rPr>
          <w:rFonts w:hint="eastAsia"/>
        </w:rPr>
        <w:t>配置管理数据库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包含所有配置项及其详细属性、状态及相互关系的数据库。</w:t>
      </w:r>
    </w:p>
    <w:p>
      <w:pPr>
        <w:pStyle w:val="2"/>
        <w:bidi w:val="0"/>
        <w:rPr>
          <w:rFonts w:hint="eastAsia"/>
        </w:rPr>
      </w:pPr>
      <w:bookmarkStart w:id="14" w:name="_Toc2332"/>
      <w:r>
        <w:rPr>
          <w:rFonts w:hint="eastAsia"/>
        </w:rPr>
        <w:t>配置基线</w:t>
      </w:r>
      <w:bookmarkEnd w:id="14"/>
    </w:p>
    <w:p>
      <w:pPr>
        <w:pStyle w:val="a1"/>
      </w:pPr>
      <w:r>
        <w:rPr>
          <w:rFonts w:hint="eastAsia"/>
        </w:rPr>
        <w:t>在特定时间点正式指定的配置项集合的状态，作为后续工作和恢复的基准。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4768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93"/>
      <w:r>
        <w:rPr>
          <w:rFonts w:hint="default"/>
          <w:lang w:val="en-US" w:eastAsia="zh-CN"/>
        </w:rPr>
        <w:t>配置管理策略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配置管理负责人需制定并维护配置管理策略，明确配置管理的目标、范围、角色与职责，定义配置项的命名规则、类别、属性、状态及相互关系。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251"/>
      <w:r>
        <w:rPr>
          <w:rFonts w:hint="default"/>
          <w:lang w:val="en-US" w:eastAsia="zh-CN"/>
        </w:rPr>
        <w:t>配置管理范围定义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制定详细的配置项识别标准，明确纳入配置管理的资源类型和粒度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建立配置项分类体系，按照硬件、软件、文档、服务等维度进行分类管理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定义配置项的生命周期状态，包括：规划中、使用中、已停用、已报废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9700"/>
      <w:r>
        <w:rPr>
          <w:rFonts w:hint="default"/>
          <w:lang w:val="en-US" w:eastAsia="zh-CN"/>
        </w:rPr>
        <w:t>命名规范与属性定义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制定统一的配置项命名规则，确保唯一性和可识别性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定义各类配置项的关键属性，建立标准属性模板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建立配置项关系类型定义，包括：依赖、连接、包含、使用等关系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240"/>
      <w:r>
        <w:rPr>
          <w:rFonts w:hint="default"/>
          <w:lang w:val="en-US" w:eastAsia="zh-CN"/>
        </w:rPr>
        <w:t>配置项识别与定义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3554"/>
      <w:r>
        <w:rPr>
          <w:rFonts w:hint="default"/>
          <w:lang w:val="en-US" w:eastAsia="zh-CN"/>
        </w:rPr>
        <w:t>配置项识别流程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建立系统化的配置项识别机制：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新配置项识别：在新系统上线或新设备采购时，同步识别和定义配置项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现有环境梳理：定期对现有环境进行配置项普查，确保无遗漏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变更触发识别：通过变更流程触发新配置项的识别和定义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16334"/>
      <w:r>
        <w:rPr>
          <w:rFonts w:hint="default"/>
          <w:lang w:val="en-US" w:eastAsia="zh-CN"/>
        </w:rPr>
        <w:t>配置项属性管理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核心属性：包括名称、型号、版本、责任人、位置、状态等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业务属性：关联的业务系统、服务级别、成本中心等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技术属性：配置参数、性能指标、兼容性信息等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关系属性：与其他配置项的关联关系和依赖关系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51"/>
      <w:r>
        <w:rPr>
          <w:rFonts w:hint="default"/>
          <w:lang w:val="en-US" w:eastAsia="zh-CN"/>
        </w:rPr>
        <w:t>CMDB建设与维护</w:t>
      </w:r>
      <w:bookmarkEnd w:id="22"/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4465"/>
      <w:r>
        <w:rPr>
          <w:rFonts w:hint="default"/>
          <w:lang w:val="en-US" w:eastAsia="zh-CN"/>
        </w:rPr>
        <w:t>CMDB初始化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制定CMDB建设计划，分阶段实施配置项数据入库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建立数据质量验证机制，确保初始化数据的准确性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制定配置基线，记录系统初始状态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16606"/>
      <w:r>
        <w:rPr>
          <w:rFonts w:hint="default"/>
          <w:lang w:val="en-US" w:eastAsia="zh-CN"/>
        </w:rPr>
        <w:t>日常维护流程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变更同步：所有配置项变更必须实时同步更新CMDB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定期验证：每月对关键配置项数据进行抽样验证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问题处理：建立CMDB数据问题反馈和纠正机制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4815"/>
      <w:r>
        <w:rPr>
          <w:rFonts w:hint="default"/>
          <w:lang w:val="en-US" w:eastAsia="zh-CN"/>
        </w:rPr>
        <w:t>配置变更控制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2083"/>
      <w:r>
        <w:rPr>
          <w:rFonts w:hint="default"/>
          <w:lang w:val="en-US" w:eastAsia="zh-CN"/>
        </w:rPr>
        <w:t>变更触发机制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所有配置项变更必须通过正式的变更管理流程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建立变更与配置项的关联关系，确保可追溯性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重大变更前必须建立配置基线，便于回滚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974"/>
      <w:r>
        <w:rPr>
          <w:rFonts w:hint="default"/>
          <w:lang w:val="en-US" w:eastAsia="zh-CN"/>
        </w:rPr>
        <w:t>变更验证流程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变更实施后必须验证CMDB数据的准确性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建立变更后配置项状态确认机制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对变更影响进行分析，更新相关配置项关系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26842"/>
      <w:r>
        <w:rPr>
          <w:rFonts w:hint="default"/>
          <w:lang w:val="en-US" w:eastAsia="zh-CN"/>
        </w:rPr>
        <w:t>配置状态报告</w:t>
      </w:r>
      <w:bookmarkEnd w:id="28"/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17054"/>
      <w:r>
        <w:rPr>
          <w:rFonts w:hint="default"/>
          <w:lang w:val="en-US" w:eastAsia="zh-CN"/>
        </w:rPr>
        <w:t>报告类型与内容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建立多层次的配置状态报告体系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7948"/>
      <w:r>
        <w:rPr>
          <w:rFonts w:hint="default"/>
          <w:lang w:val="en-US" w:eastAsia="zh-CN"/>
        </w:rPr>
        <w:t>报告分发与使用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建立报告分发清单，确保相关方及时获取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将配置数据用于容量规划、影响分析、故障定位等场景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基于报告发现推动配置管理改进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6580"/>
      <w:r>
        <w:rPr>
          <w:rFonts w:hint="default"/>
          <w:lang w:val="en-US" w:eastAsia="zh-CN"/>
        </w:rPr>
        <w:t>配置审计与改进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4961"/>
      <w:r>
        <w:rPr>
          <w:rFonts w:hint="default"/>
          <w:lang w:val="en-US" w:eastAsia="zh-CN"/>
        </w:rPr>
        <w:t>审计计划与执行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制定年度配置审计计划，覆盖所有关键配置项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采用定期审计与专项审计相结合的方式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审计范围包括：数据准确性、完整性、及时性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23789"/>
      <w:r>
        <w:rPr>
          <w:rFonts w:hint="default"/>
          <w:lang w:val="en-US" w:eastAsia="zh-CN"/>
        </w:rPr>
        <w:t>问题跟踪与改进</w:t>
      </w:r>
      <w:bookmarkEnd w:id="3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建立审计问题跟踪机制，确保问题及时解决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分析问题根本原因，制定预防措施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将审计结果纳入持续改进计划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24767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为确保配置管理流程的有效执行和持续改进，特设定以下关键控制点与量化测量指标。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26455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所有配置项的增、删、改操作必须由变更管理流程正式触发。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CMDB的初始化及重大调整必须建立并经过配置基线审批。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定期配置审计必须执行，审计结果必须被回顾并用于改进。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7174"/>
      <w:r>
        <w:rPr>
          <w:rFonts w:hint="eastAsia"/>
          <w:lang w:val="en-US" w:eastAsia="zh-CN"/>
        </w:rPr>
        <w:t>过程测量指标</w:t>
      </w:r>
      <w:bookmarkEnd w:id="3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配置准确率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准确配置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7424"/>
      <w:bookmarkStart w:id="39" w:name="_Toc12339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5099"/>
      <w:r>
        <w:rPr>
          <w:rFonts w:hint="eastAsia"/>
          <w:lang w:val="en-US" w:eastAsia="zh-CN"/>
        </w:rPr>
        <w:t>附件</w:t>
      </w:r>
      <w:bookmarkEnd w:id="41"/>
    </w:p>
    <w:p>
      <w:pPr>
        <w:pStyle w:val="a3"/>
        <w:numPr>
          <w:ilvl w:val="0"/>
          <w:numId w:val="8"/>
        </w:numPr>
        <w:bidi w:val="0"/>
      </w:pPr>
      <w:r>
        <w:t>《配置项分类定义表》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《配置项属性表》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《配置项基本信息审计表》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《配置状态报告模板》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7318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bidi w:val="0"/>
      </w:pPr>
      <w:r>
        <w:t>配置管理过程中产生的所有记录，包括但不限于各类定义表、审计表、状态报告及配置审计报告，应由运维部统一保存，保存期限不少于3年。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6A6CC54"/>
    <w:multiLevelType w:val="singleLevel"/>
    <w:tmpl w:val="D6A6CC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ACB509"/>
    <w:multiLevelType w:val="singleLevel"/>
    <w:tmpl w:val="DDACB5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D13D59"/>
    <w:multiLevelType w:val="singleLevel"/>
    <w:tmpl w:val="02D13D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C9C27E"/>
    <w:multiLevelType w:val="singleLevel"/>
    <w:tmpl w:val="2EC9C2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69818F"/>
    <w:multiLevelType w:val="singleLevel"/>
    <w:tmpl w:val="6B6981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DCEB3CB"/>
    <w:multiLevelType w:val="singleLevel"/>
    <w:tmpl w:val="6DCEB3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2367</Words>
  <Characters>2655</Characters>
  <Application>Microsoft Office Word</Application>
  <DocSecurity>0</DocSecurity>
  <Lines>0</Lines>
  <Paragraphs>0</Paragraphs>
  <ScaleCrop>false</ScaleCrop>
  <Company/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